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5EBB" w:rsidRPr="009D5EBB" w:rsidRDefault="009D5EBB" w:rsidP="009D5EBB">
      <w:pPr>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32"/>
        </w:rPr>
      </w:pPr>
      <w:r w:rsidRPr="00F10BF2">
        <w:rPr>
          <w:rFonts w:ascii="Times New Roman" w:hAnsi="Times New Roman"/>
          <w:b/>
          <w:color w:val="FF0000"/>
          <w:sz w:val="32"/>
        </w:rPr>
        <w:t>Nourrir la population indienne</w:t>
      </w:r>
    </w:p>
    <w:p w:rsidR="009D5EBB" w:rsidRDefault="009D5EBB" w:rsidP="009D5EBB"/>
    <w:p w:rsidR="009D5EBB" w:rsidRDefault="009D5EBB" w:rsidP="009D5EBB">
      <w:pPr>
        <w:rPr>
          <w:b/>
          <w:color w:val="FF0000"/>
          <w:u w:val="single"/>
        </w:rPr>
      </w:pPr>
      <w:r>
        <w:rPr>
          <w:b/>
          <w:color w:val="FF0000"/>
          <w:u w:val="single"/>
        </w:rPr>
        <w:t>II. Assurer la sécurité alimentaire des Indiens aujourd’hui et demain.</w:t>
      </w:r>
    </w:p>
    <w:p w:rsidR="009D5EBB" w:rsidRDefault="009D5EBB" w:rsidP="009D5EBB">
      <w:pPr>
        <w:rPr>
          <w:b/>
          <w:color w:val="FF0000"/>
          <w:u w:val="single"/>
        </w:rPr>
      </w:pP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b/>
          <w:sz w:val="20"/>
        </w:rPr>
      </w:pPr>
      <w:r>
        <w:rPr>
          <w:rFonts w:ascii="Times New Roman" w:hAnsi="Times New Roman"/>
          <w:b/>
          <w:sz w:val="20"/>
        </w:rPr>
        <w:t xml:space="preserve">Doc. 1 – Les enjeux politiques de l’autosuffisance alimentaire. </w:t>
      </w: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sidRPr="00736F98">
        <w:rPr>
          <w:rFonts w:ascii="Times New Roman" w:hAnsi="Times New Roman"/>
          <w:sz w:val="20"/>
        </w:rPr>
        <w:tab/>
        <w:t>« 1964</w:t>
      </w:r>
      <w:r>
        <w:rPr>
          <w:rFonts w:ascii="Times New Roman" w:hAnsi="Times New Roman"/>
          <w:sz w:val="20"/>
        </w:rPr>
        <w:t>-1965 sont des années noires, pour l’Inde (…). La production céréalière chute de 20%. Au Bihar</w:t>
      </w:r>
      <w:r w:rsidRPr="00736F98">
        <w:rPr>
          <w:rFonts w:ascii="Times New Roman" w:hAnsi="Times New Roman"/>
          <w:sz w:val="20"/>
          <w:vertAlign w:val="superscript"/>
        </w:rPr>
        <w:t>1</w:t>
      </w:r>
      <w:r>
        <w:rPr>
          <w:rFonts w:ascii="Times New Roman" w:hAnsi="Times New Roman"/>
          <w:sz w:val="20"/>
        </w:rPr>
        <w:t>, un Etat de la vallée du Gange</w:t>
      </w:r>
      <w:r w:rsidRPr="00736F98">
        <w:rPr>
          <w:rFonts w:ascii="Times New Roman" w:hAnsi="Times New Roman"/>
          <w:sz w:val="20"/>
          <w:vertAlign w:val="superscript"/>
        </w:rPr>
        <w:t>2</w:t>
      </w:r>
      <w:r>
        <w:rPr>
          <w:rFonts w:ascii="Times New Roman" w:hAnsi="Times New Roman"/>
          <w:sz w:val="20"/>
        </w:rPr>
        <w:t xml:space="preserve"> (…) 100 000 personnes meurent de faim. L’Inde est obligée d’importer 10 millions de tonnes de riz et de blé, mais le président américain Johnson ralentit délibérément le départ des navires céréaliers pour obliger l’Inde à revoir ses positions antiaméricaines dans la guerre du Vietnam. </w:t>
      </w: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Pr>
          <w:rFonts w:ascii="Times New Roman" w:hAnsi="Times New Roman"/>
          <w:sz w:val="20"/>
        </w:rPr>
        <w:t>Le gouvernement indien décide que pareille humiliation ne se produira plus : le pays doit se donner les moyens de son autosuffisance en céréales. »</w:t>
      </w:r>
    </w:p>
    <w:p w:rsidR="009D5EBB" w:rsidRPr="00736F98" w:rsidRDefault="009D5EBB" w:rsidP="009D5EBB">
      <w:pPr>
        <w:pBdr>
          <w:top w:val="single" w:sz="4" w:space="1" w:color="auto"/>
          <w:left w:val="single" w:sz="4" w:space="4" w:color="auto"/>
          <w:bottom w:val="single" w:sz="4" w:space="1" w:color="auto"/>
          <w:right w:val="single" w:sz="4" w:space="4" w:color="auto"/>
        </w:pBdr>
        <w:jc w:val="right"/>
        <w:rPr>
          <w:rFonts w:ascii="Times New Roman" w:hAnsi="Times New Roman"/>
          <w:sz w:val="20"/>
        </w:rPr>
      </w:pPr>
      <w:r>
        <w:rPr>
          <w:rFonts w:ascii="Times New Roman" w:hAnsi="Times New Roman"/>
          <w:sz w:val="20"/>
        </w:rPr>
        <w:t>Sylvie Brunel, Nourrir le monde – Vaincre la faim, Larousse, 2009.</w:t>
      </w:r>
    </w:p>
    <w:p w:rsidR="009D5EBB" w:rsidRPr="00736F98"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sidRPr="00736F98">
        <w:rPr>
          <w:rFonts w:ascii="Times New Roman" w:hAnsi="Times New Roman"/>
          <w:sz w:val="20"/>
          <w:vertAlign w:val="superscript"/>
        </w:rPr>
        <w:t>1</w:t>
      </w:r>
      <w:r w:rsidRPr="00736F98">
        <w:rPr>
          <w:rFonts w:ascii="Times New Roman" w:hAnsi="Times New Roman"/>
          <w:sz w:val="20"/>
        </w:rPr>
        <w:t xml:space="preserve"> </w:t>
      </w:r>
      <w:proofErr w:type="spellStart"/>
      <w:r w:rsidRPr="00736F98">
        <w:rPr>
          <w:rFonts w:ascii="Times New Roman" w:hAnsi="Times New Roman"/>
          <w:sz w:val="20"/>
        </w:rPr>
        <w:t>Bihar</w:t>
      </w:r>
      <w:proofErr w:type="spellEnd"/>
      <w:r w:rsidRPr="00736F98">
        <w:rPr>
          <w:rFonts w:ascii="Times New Roman" w:hAnsi="Times New Roman"/>
          <w:sz w:val="20"/>
        </w:rPr>
        <w:t xml:space="preserve"> : région au Nord Est de l’Inde. </w:t>
      </w: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Pr>
          <w:rFonts w:ascii="Times New Roman" w:hAnsi="Times New Roman"/>
          <w:sz w:val="20"/>
          <w:vertAlign w:val="superscript"/>
        </w:rPr>
        <w:t xml:space="preserve">2 </w:t>
      </w:r>
      <w:r>
        <w:rPr>
          <w:rFonts w:ascii="Times New Roman" w:hAnsi="Times New Roman"/>
          <w:sz w:val="20"/>
        </w:rPr>
        <w:t>Gange : fleuve qui traverse le Nord de l’Inde.</w:t>
      </w:r>
    </w:p>
    <w:p w:rsidR="009D5EBB" w:rsidRPr="00736F98" w:rsidRDefault="009D5EBB" w:rsidP="009D5EBB">
      <w:pPr>
        <w:jc w:val="both"/>
        <w:rPr>
          <w:rFonts w:ascii="Times New Roman" w:hAnsi="Times New Roman"/>
          <w:sz w:val="20"/>
        </w:rPr>
      </w:pPr>
    </w:p>
    <w:p w:rsidR="009D5EBB" w:rsidRPr="007933B3"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b/>
          <w:sz w:val="20"/>
        </w:rPr>
      </w:pPr>
      <w:r>
        <w:rPr>
          <w:rFonts w:ascii="Times New Roman" w:hAnsi="Times New Roman"/>
          <w:b/>
          <w:sz w:val="20"/>
        </w:rPr>
        <w:t>Doc. 2</w:t>
      </w:r>
      <w:r w:rsidRPr="007933B3">
        <w:rPr>
          <w:rFonts w:ascii="Times New Roman" w:hAnsi="Times New Roman"/>
          <w:b/>
          <w:sz w:val="20"/>
        </w:rPr>
        <w:t xml:space="preserve"> – Les bases de la « révolution verte ». </w:t>
      </w: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Pr>
          <w:rFonts w:ascii="Times New Roman" w:hAnsi="Times New Roman"/>
          <w:sz w:val="20"/>
        </w:rPr>
        <w:tab/>
        <w:t xml:space="preserve">« Pour passer de 3 milliards d’habitants dans les années 1950 à 6 milliards au seuil du XXIe siècle, l’agriculture a dû profondément se transformer. Dans le monde tropical, cette grande transformation a été celle de la révolution verte. (…) La recherche a mis au point un ensemble technologique qui a beaucoup contribué à faire face aux nouveaux besoins. </w:t>
      </w: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Pr>
          <w:rFonts w:ascii="Times New Roman" w:hAnsi="Times New Roman"/>
          <w:sz w:val="20"/>
        </w:rPr>
        <w:t xml:space="preserve">La révolution verte a démarré en Inde en 1966 ; (…) le généticien M. S. </w:t>
      </w:r>
      <w:proofErr w:type="spellStart"/>
      <w:r>
        <w:rPr>
          <w:rFonts w:ascii="Times New Roman" w:hAnsi="Times New Roman"/>
          <w:sz w:val="20"/>
        </w:rPr>
        <w:t>Swaminathan</w:t>
      </w:r>
      <w:proofErr w:type="spellEnd"/>
      <w:r>
        <w:rPr>
          <w:rFonts w:ascii="Times New Roman" w:hAnsi="Times New Roman"/>
          <w:sz w:val="20"/>
        </w:rPr>
        <w:t xml:space="preserve"> mettait au point des riz améliorés. Blé et riz à haut rendement</w:t>
      </w:r>
      <w:r w:rsidRPr="007933B3">
        <w:rPr>
          <w:rFonts w:ascii="Times New Roman" w:hAnsi="Times New Roman"/>
          <w:sz w:val="20"/>
          <w:vertAlign w:val="superscript"/>
        </w:rPr>
        <w:t>1</w:t>
      </w:r>
      <w:r>
        <w:rPr>
          <w:rFonts w:ascii="Times New Roman" w:hAnsi="Times New Roman"/>
          <w:sz w:val="20"/>
        </w:rPr>
        <w:t xml:space="preserve"> ont rapidement été cultivés en Inde. L’extension des surfaces semées avec ces variétés et leur succès auprès des producteurs </w:t>
      </w:r>
      <w:proofErr w:type="gramStart"/>
      <w:r>
        <w:rPr>
          <w:rFonts w:ascii="Times New Roman" w:hAnsi="Times New Roman"/>
          <w:sz w:val="20"/>
        </w:rPr>
        <w:t>ont</w:t>
      </w:r>
      <w:proofErr w:type="gramEnd"/>
      <w:r>
        <w:rPr>
          <w:rFonts w:ascii="Times New Roman" w:hAnsi="Times New Roman"/>
          <w:sz w:val="20"/>
        </w:rPr>
        <w:t xml:space="preserve"> été extraordinairement rapides dans les périmètres irrigués du Pendjab</w:t>
      </w:r>
      <w:r w:rsidRPr="007933B3">
        <w:rPr>
          <w:rFonts w:ascii="Times New Roman" w:hAnsi="Times New Roman"/>
          <w:sz w:val="20"/>
          <w:vertAlign w:val="superscript"/>
        </w:rPr>
        <w:t>2</w:t>
      </w:r>
      <w:r>
        <w:rPr>
          <w:rFonts w:ascii="Times New Roman" w:hAnsi="Times New Roman"/>
          <w:sz w:val="20"/>
        </w:rPr>
        <w:t>. Cette extension a suivi le développement de l’irrigation</w:t>
      </w:r>
      <w:r>
        <w:rPr>
          <w:rFonts w:ascii="Times New Roman" w:hAnsi="Times New Roman"/>
          <w:sz w:val="20"/>
          <w:vertAlign w:val="superscript"/>
        </w:rPr>
        <w:t>3</w:t>
      </w:r>
      <w:r>
        <w:rPr>
          <w:rFonts w:ascii="Times New Roman" w:hAnsi="Times New Roman"/>
          <w:sz w:val="20"/>
        </w:rPr>
        <w:t xml:space="preserve"> dans la vallée du Gange, puis dans les basses vallées irriguées de l’Inde. </w:t>
      </w: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Pr>
          <w:rFonts w:ascii="Times New Roman" w:hAnsi="Times New Roman"/>
          <w:sz w:val="20"/>
        </w:rPr>
        <w:t>Ce succès s’explique certes par les performances de ces blés et de ces riz en termes de rendements, mais il provient aussi – et peut-être surtout - des politiques agricoles qui ont été appliquées par l’Etat indien. Tout d’abord, les semences étaient subventionnées, ainsi que les engrais et souvent les produits phytosanitaires</w:t>
      </w:r>
      <w:r>
        <w:rPr>
          <w:rFonts w:ascii="Times New Roman" w:hAnsi="Times New Roman"/>
          <w:sz w:val="20"/>
          <w:vertAlign w:val="superscript"/>
        </w:rPr>
        <w:t>4</w:t>
      </w:r>
      <w:r>
        <w:rPr>
          <w:rFonts w:ascii="Times New Roman" w:hAnsi="Times New Roman"/>
          <w:sz w:val="20"/>
        </w:rPr>
        <w:t>. Ensuite, les prix agricoles étaient garantis et stables, l’achat des récoltes était assuré par l’Etat qui contrôlait ainsi les circuits des céréales et revendait celles-ci dans des boutiques où les prix étaient eux aussi subventionnés. Par ailleurs, les agriculteurs avaient accès à un crédit pour l’achat des semences et des fournitures</w:t>
      </w:r>
      <w:r w:rsidRPr="007773A8">
        <w:rPr>
          <w:rFonts w:ascii="Times New Roman" w:hAnsi="Times New Roman"/>
          <w:sz w:val="20"/>
          <w:vertAlign w:val="superscript"/>
        </w:rPr>
        <w:t>5</w:t>
      </w:r>
      <w:r>
        <w:rPr>
          <w:rFonts w:ascii="Times New Roman" w:hAnsi="Times New Roman"/>
          <w:sz w:val="20"/>
        </w:rPr>
        <w:t>, ainsi que pour les investissements (motoculteurs, creusement de puits et achat de pompes</w:t>
      </w:r>
      <w:r w:rsidR="000F472C">
        <w:rPr>
          <w:rFonts w:ascii="Times New Roman" w:hAnsi="Times New Roman"/>
          <w:sz w:val="20"/>
        </w:rPr>
        <w:t>)</w:t>
      </w:r>
      <w:r>
        <w:rPr>
          <w:rFonts w:ascii="Times New Roman" w:hAnsi="Times New Roman"/>
          <w:sz w:val="20"/>
        </w:rPr>
        <w:t>. Cette politique puissamment incitative est à l’origine d’un accroissement exceptionnel de la production. »</w:t>
      </w:r>
    </w:p>
    <w:p w:rsidR="009D5EBB" w:rsidRDefault="009D5EBB" w:rsidP="009D5EBB">
      <w:pPr>
        <w:pBdr>
          <w:top w:val="single" w:sz="4" w:space="1" w:color="auto"/>
          <w:left w:val="single" w:sz="4" w:space="4" w:color="auto"/>
          <w:bottom w:val="single" w:sz="4" w:space="1" w:color="auto"/>
          <w:right w:val="single" w:sz="4" w:space="4" w:color="auto"/>
        </w:pBdr>
        <w:jc w:val="right"/>
        <w:rPr>
          <w:rFonts w:ascii="Times New Roman" w:hAnsi="Times New Roman"/>
          <w:sz w:val="20"/>
        </w:rPr>
      </w:pPr>
      <w:r>
        <w:rPr>
          <w:rFonts w:ascii="Times New Roman" w:hAnsi="Times New Roman"/>
          <w:sz w:val="20"/>
        </w:rPr>
        <w:t xml:space="preserve">Michel Griffon, </w:t>
      </w:r>
      <w:r w:rsidRPr="00A80FCC">
        <w:rPr>
          <w:rFonts w:ascii="Times New Roman" w:hAnsi="Times New Roman"/>
          <w:i/>
          <w:sz w:val="20"/>
        </w:rPr>
        <w:t>Révolution verte, révolution doublement verte</w:t>
      </w:r>
      <w:r>
        <w:rPr>
          <w:rFonts w:ascii="Times New Roman" w:hAnsi="Times New Roman"/>
          <w:sz w:val="20"/>
        </w:rPr>
        <w:t xml:space="preserve">, CIRAD, 2002. </w:t>
      </w: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sidRPr="007933B3">
        <w:rPr>
          <w:rFonts w:ascii="Times New Roman" w:hAnsi="Times New Roman"/>
          <w:sz w:val="20"/>
          <w:vertAlign w:val="superscript"/>
        </w:rPr>
        <w:t>1</w:t>
      </w:r>
      <w:r>
        <w:rPr>
          <w:rFonts w:ascii="Times New Roman" w:hAnsi="Times New Roman"/>
          <w:sz w:val="20"/>
        </w:rPr>
        <w:t xml:space="preserve"> Rendement : production sur une surface donnée. </w:t>
      </w: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sidRPr="007933B3">
        <w:rPr>
          <w:rFonts w:ascii="Times New Roman" w:hAnsi="Times New Roman"/>
          <w:sz w:val="20"/>
          <w:vertAlign w:val="superscript"/>
        </w:rPr>
        <w:t>2</w:t>
      </w:r>
      <w:r>
        <w:rPr>
          <w:rFonts w:ascii="Times New Roman" w:hAnsi="Times New Roman"/>
          <w:sz w:val="20"/>
        </w:rPr>
        <w:t xml:space="preserve"> Pendjab : région située au Nord de l’Inde.</w:t>
      </w: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sidRPr="007933B3">
        <w:rPr>
          <w:rFonts w:ascii="Times New Roman" w:hAnsi="Times New Roman"/>
          <w:sz w:val="20"/>
          <w:vertAlign w:val="superscript"/>
        </w:rPr>
        <w:t>3</w:t>
      </w:r>
      <w:r>
        <w:rPr>
          <w:rFonts w:ascii="Times New Roman" w:hAnsi="Times New Roman"/>
          <w:sz w:val="20"/>
        </w:rPr>
        <w:t xml:space="preserve"> Irrigation : procédé technique qui consiste à apporter de l’eau à une surface cultivée. </w:t>
      </w: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sidRPr="007933B3">
        <w:rPr>
          <w:rFonts w:ascii="Times New Roman" w:hAnsi="Times New Roman"/>
          <w:sz w:val="20"/>
          <w:vertAlign w:val="superscript"/>
        </w:rPr>
        <w:t>4</w:t>
      </w:r>
      <w:r>
        <w:rPr>
          <w:rFonts w:ascii="Times New Roman" w:hAnsi="Times New Roman"/>
          <w:sz w:val="20"/>
        </w:rPr>
        <w:t xml:space="preserve">  Produits phytosanitaires : pesticides qui permettent d’éviter le développement de maladies sur les organismes végétaux. </w:t>
      </w: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Pr>
          <w:rFonts w:ascii="Times New Roman" w:hAnsi="Times New Roman"/>
          <w:sz w:val="20"/>
        </w:rPr>
        <w:t xml:space="preserve">5 Pour ces achats, les agriculteurs bénéficient de </w:t>
      </w:r>
      <w:proofErr w:type="spellStart"/>
      <w:r>
        <w:rPr>
          <w:rFonts w:ascii="Times New Roman" w:hAnsi="Times New Roman"/>
          <w:sz w:val="20"/>
        </w:rPr>
        <w:t>micro-crédits</w:t>
      </w:r>
      <w:proofErr w:type="spellEnd"/>
      <w:r>
        <w:rPr>
          <w:rFonts w:ascii="Times New Roman" w:hAnsi="Times New Roman"/>
          <w:sz w:val="20"/>
        </w:rPr>
        <w:t xml:space="preserve">, c’est-à-dire des prêts de petites sommes d’argent. </w:t>
      </w:r>
    </w:p>
    <w:p w:rsidR="003473B3" w:rsidRDefault="003473B3" w:rsidP="009D5EBB">
      <w:pPr>
        <w:jc w:val="both"/>
        <w:rPr>
          <w:rFonts w:ascii="Times New Roman" w:hAnsi="Times New Roman"/>
          <w:sz w:val="20"/>
        </w:rPr>
      </w:pPr>
    </w:p>
    <w:p w:rsidR="003473B3" w:rsidRDefault="000F472C" w:rsidP="009D5EBB">
      <w:pPr>
        <w:jc w:val="both"/>
        <w:rPr>
          <w:rFonts w:ascii="Times New Roman" w:hAnsi="Times New Roman"/>
          <w:b/>
          <w:sz w:val="20"/>
        </w:rPr>
      </w:pPr>
      <w:r>
        <w:rPr>
          <w:rFonts w:ascii="Times New Roman" w:hAnsi="Times New Roman"/>
          <w:b/>
          <w:sz w:val="20"/>
        </w:rPr>
        <w:t>Doc. 3 – Le</w:t>
      </w:r>
      <w:r w:rsidR="003473B3" w:rsidRPr="003473B3">
        <w:rPr>
          <w:rFonts w:ascii="Times New Roman" w:hAnsi="Times New Roman"/>
          <w:b/>
          <w:sz w:val="20"/>
        </w:rPr>
        <w:t xml:space="preserve"> rôle de l’Etat dans la redistribution alimentaire en Inde. </w:t>
      </w:r>
    </w:p>
    <w:p w:rsidR="003473B3" w:rsidRPr="003473B3" w:rsidRDefault="003473B3" w:rsidP="009D5EBB">
      <w:pPr>
        <w:jc w:val="both"/>
        <w:rPr>
          <w:rFonts w:ascii="Times New Roman" w:hAnsi="Times New Roman"/>
          <w:b/>
          <w:sz w:val="20"/>
        </w:rPr>
      </w:pPr>
    </w:p>
    <w:p w:rsidR="003473B3" w:rsidRDefault="003473B3" w:rsidP="009D5EBB">
      <w:pPr>
        <w:jc w:val="both"/>
        <w:rPr>
          <w:rFonts w:ascii="Times New Roman" w:hAnsi="Times New Roman"/>
          <w:sz w:val="20"/>
        </w:rPr>
      </w:pPr>
    </w:p>
    <w:p w:rsidR="003473B3" w:rsidRDefault="003473B3" w:rsidP="009D5EBB">
      <w:pPr>
        <w:jc w:val="both"/>
        <w:rPr>
          <w:rFonts w:ascii="Times New Roman" w:hAnsi="Times New Roman"/>
          <w:sz w:val="20"/>
        </w:rPr>
      </w:pPr>
    </w:p>
    <w:p w:rsidR="003473B3" w:rsidRDefault="003473B3" w:rsidP="009D5EBB">
      <w:pPr>
        <w:jc w:val="both"/>
        <w:rPr>
          <w:rFonts w:ascii="Times New Roman" w:hAnsi="Times New Roman"/>
          <w:sz w:val="20"/>
        </w:rPr>
      </w:pPr>
    </w:p>
    <w:p w:rsidR="009D5EBB" w:rsidRDefault="00B93509" w:rsidP="009D5EBB">
      <w:pPr>
        <w:jc w:val="both"/>
        <w:rPr>
          <w:rFonts w:ascii="Times New Roman" w:hAnsi="Times New Roman"/>
          <w:sz w:val="20"/>
        </w:rPr>
      </w:pPr>
      <w:r>
        <w:rPr>
          <w:rFonts w:ascii="Times New Roman" w:hAnsi="Times New Roman"/>
          <w:noProof/>
          <w:sz w:val="20"/>
          <w:lang w:eastAsia="fr-FR"/>
        </w:rPr>
        <w:pict>
          <v:shapetype id="_x0000_t202" coordsize="21600,21600" o:spt="202" path="m0,0l0,21600,21600,21600,21600,0xe">
            <v:stroke joinstyle="miter"/>
            <v:path gradientshapeok="t" o:connecttype="rect"/>
          </v:shapetype>
          <v:shape id="_x0000_s1026" type="#_x0000_t202" style="position:absolute;left:0;text-align:left;margin-left:5in;margin-top:11.85pt;width:162pt;height:126pt;z-index:251658240;mso-wrap-edited:f" wrapcoords="0 0 21600 0 21600 21600 0 21600 0 0" filled="f" stroked="f">
            <v:fill o:detectmouseclick="t"/>
            <v:textbox inset=",7.2pt,,7.2pt">
              <w:txbxContent>
                <w:p w:rsidR="003473B3" w:rsidRPr="003473B3" w:rsidRDefault="003473B3">
                  <w:pPr>
                    <w:rPr>
                      <w:sz w:val="20"/>
                    </w:rPr>
                  </w:pPr>
                  <w:r w:rsidRPr="003473B3">
                    <w:rPr>
                      <w:sz w:val="20"/>
                    </w:rPr>
                    <w:t xml:space="preserve">Source : </w:t>
                  </w:r>
                  <w:proofErr w:type="spellStart"/>
                  <w:r w:rsidRPr="003473B3">
                    <w:rPr>
                      <w:smallCaps/>
                      <w:sz w:val="20"/>
                    </w:rPr>
                    <w:t>Landy</w:t>
                  </w:r>
                  <w:proofErr w:type="spellEnd"/>
                  <w:r w:rsidRPr="003473B3">
                    <w:rPr>
                      <w:sz w:val="20"/>
                    </w:rPr>
                    <w:t xml:space="preserve">, Frédéric, </w:t>
                  </w:r>
                  <w:proofErr w:type="spellStart"/>
                  <w:r w:rsidRPr="003473B3">
                    <w:rPr>
                      <w:smallCaps/>
                      <w:sz w:val="20"/>
                    </w:rPr>
                    <w:t>Varrel</w:t>
                  </w:r>
                  <w:proofErr w:type="spellEnd"/>
                  <w:r w:rsidRPr="003473B3">
                    <w:rPr>
                      <w:sz w:val="20"/>
                    </w:rPr>
                    <w:t xml:space="preserve">, Aurélie, </w:t>
                  </w:r>
                  <w:r w:rsidRPr="003473B3">
                    <w:rPr>
                      <w:i/>
                      <w:sz w:val="20"/>
                    </w:rPr>
                    <w:t>L’Inde du développement à l’émergence</w:t>
                  </w:r>
                  <w:r w:rsidRPr="003473B3">
                    <w:rPr>
                      <w:sz w:val="20"/>
                    </w:rPr>
                    <w:t>, Armand Colin, 2015.</w:t>
                  </w:r>
                </w:p>
              </w:txbxContent>
            </v:textbox>
            <w10:wrap type="tight"/>
          </v:shape>
        </w:pict>
      </w:r>
      <w:r w:rsidR="003473B3">
        <w:rPr>
          <w:rFonts w:ascii="Times New Roman" w:hAnsi="Times New Roman"/>
          <w:noProof/>
          <w:sz w:val="20"/>
          <w:lang w:eastAsia="fr-FR"/>
        </w:rPr>
        <w:drawing>
          <wp:inline distT="0" distB="0" distL="0" distR="0">
            <wp:extent cx="4011457" cy="3017520"/>
            <wp:effectExtent l="50800" t="50800" r="27143" b="5080"/>
            <wp:docPr id="1" name="Image 1" descr=":::::::::::Desktop:Capture d’écran 2016-10-21 à 15.3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ktop:Capture d’écran 2016-10-21 à 15.31.47.png"/>
                    <pic:cNvPicPr>
                      <a:picLocks noChangeAspect="1" noChangeArrowheads="1"/>
                    </pic:cNvPicPr>
                  </pic:nvPicPr>
                  <pic:blipFill>
                    <a:blip r:embed="rId5"/>
                    <a:srcRect l="6057" t="10345" r="2019"/>
                    <a:stretch>
                      <a:fillRect/>
                    </a:stretch>
                  </pic:blipFill>
                  <pic:spPr bwMode="auto">
                    <a:xfrm rot="60000">
                      <a:off x="0" y="0"/>
                      <a:ext cx="4011457" cy="3017520"/>
                    </a:xfrm>
                    <a:prstGeom prst="rect">
                      <a:avLst/>
                    </a:prstGeom>
                    <a:noFill/>
                    <a:ln w="9525">
                      <a:noFill/>
                      <a:miter lim="800000"/>
                      <a:headEnd/>
                      <a:tailEnd/>
                    </a:ln>
                  </pic:spPr>
                </pic:pic>
              </a:graphicData>
            </a:graphic>
          </wp:inline>
        </w:drawing>
      </w:r>
    </w:p>
    <w:p w:rsidR="009D5EBB" w:rsidRDefault="003473B3" w:rsidP="009D5EBB">
      <w:pPr>
        <w:pBdr>
          <w:top w:val="single" w:sz="4" w:space="1" w:color="auto"/>
          <w:left w:val="single" w:sz="4" w:space="4" w:color="auto"/>
          <w:bottom w:val="single" w:sz="4" w:space="1" w:color="auto"/>
          <w:right w:val="single" w:sz="4" w:space="4" w:color="auto"/>
        </w:pBdr>
        <w:jc w:val="both"/>
        <w:rPr>
          <w:rFonts w:ascii="Times New Roman" w:hAnsi="Times New Roman"/>
          <w:b/>
          <w:sz w:val="20"/>
        </w:rPr>
      </w:pPr>
      <w:r>
        <w:rPr>
          <w:rFonts w:ascii="Times New Roman" w:hAnsi="Times New Roman"/>
          <w:b/>
          <w:sz w:val="20"/>
        </w:rPr>
        <w:t xml:space="preserve">Doc. 5 </w:t>
      </w:r>
      <w:r w:rsidR="009D5EBB">
        <w:rPr>
          <w:rFonts w:ascii="Times New Roman" w:hAnsi="Times New Roman"/>
          <w:b/>
          <w:sz w:val="20"/>
        </w:rPr>
        <w:t xml:space="preserve">– Des résultats positifs. </w:t>
      </w: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Pr>
          <w:rFonts w:ascii="Times New Roman" w:hAnsi="Times New Roman"/>
          <w:sz w:val="20"/>
        </w:rPr>
        <w:tab/>
        <w:t>« La révolution verte est donc un succès agricole, qui a permis un élargissement du marché de l’emploi (…), l’électrification des villages, le développement des industries chimiques et agroalimentaires. Importés au début du processus, les semences, les engrais et les pesticides sont aujourd’hui majoritairement fabriqués par l’industrie nationale. »</w:t>
      </w:r>
    </w:p>
    <w:p w:rsidR="009D5EBB" w:rsidRDefault="009D5EBB" w:rsidP="009D5EBB">
      <w:pPr>
        <w:pBdr>
          <w:top w:val="single" w:sz="4" w:space="1" w:color="auto"/>
          <w:left w:val="single" w:sz="4" w:space="4" w:color="auto"/>
          <w:bottom w:val="single" w:sz="4" w:space="1" w:color="auto"/>
          <w:right w:val="single" w:sz="4" w:space="4" w:color="auto"/>
        </w:pBdr>
        <w:jc w:val="right"/>
        <w:rPr>
          <w:rFonts w:ascii="Times New Roman" w:hAnsi="Times New Roman"/>
          <w:sz w:val="20"/>
        </w:rPr>
      </w:pPr>
      <w:r>
        <w:rPr>
          <w:rFonts w:ascii="Times New Roman" w:hAnsi="Times New Roman"/>
          <w:sz w:val="20"/>
        </w:rPr>
        <w:t xml:space="preserve">Sylvie Brunel, </w:t>
      </w:r>
      <w:r w:rsidRPr="00736F98">
        <w:rPr>
          <w:rFonts w:ascii="Times New Roman" w:hAnsi="Times New Roman"/>
          <w:i/>
          <w:sz w:val="20"/>
        </w:rPr>
        <w:t>Nourrir le monde – Vaincre la faim</w:t>
      </w:r>
      <w:r>
        <w:rPr>
          <w:rFonts w:ascii="Times New Roman" w:hAnsi="Times New Roman"/>
          <w:sz w:val="20"/>
        </w:rPr>
        <w:t xml:space="preserve">, Larousse, 2009. </w:t>
      </w:r>
    </w:p>
    <w:p w:rsidR="009D5EBB" w:rsidRPr="00736F98" w:rsidRDefault="009D5EBB" w:rsidP="009D5EBB">
      <w:pPr>
        <w:jc w:val="both"/>
        <w:rPr>
          <w:rFonts w:ascii="Times New Roman" w:hAnsi="Times New Roman"/>
          <w:sz w:val="20"/>
        </w:rPr>
      </w:pPr>
    </w:p>
    <w:p w:rsidR="009D5EBB" w:rsidRPr="00A80FCC" w:rsidRDefault="003473B3" w:rsidP="009D5EBB">
      <w:pPr>
        <w:pBdr>
          <w:top w:val="single" w:sz="4" w:space="1" w:color="auto"/>
          <w:left w:val="single" w:sz="4" w:space="4" w:color="auto"/>
          <w:bottom w:val="single" w:sz="4" w:space="1" w:color="auto"/>
          <w:right w:val="single" w:sz="4" w:space="4" w:color="auto"/>
        </w:pBdr>
        <w:jc w:val="both"/>
        <w:rPr>
          <w:rFonts w:ascii="Times New Roman" w:hAnsi="Times New Roman"/>
          <w:b/>
          <w:sz w:val="20"/>
        </w:rPr>
      </w:pPr>
      <w:r>
        <w:rPr>
          <w:rFonts w:ascii="Times New Roman" w:hAnsi="Times New Roman"/>
          <w:b/>
          <w:sz w:val="20"/>
        </w:rPr>
        <w:t>Doc. 6</w:t>
      </w:r>
      <w:r w:rsidR="009D5EBB" w:rsidRPr="00A80FCC">
        <w:rPr>
          <w:rFonts w:ascii="Times New Roman" w:hAnsi="Times New Roman"/>
          <w:b/>
          <w:sz w:val="20"/>
        </w:rPr>
        <w:t xml:space="preserve"> – Les limites de la « révolution verte » en Inde. </w:t>
      </w: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Pr>
          <w:rFonts w:ascii="Times New Roman" w:hAnsi="Times New Roman"/>
          <w:sz w:val="20"/>
        </w:rPr>
        <w:tab/>
        <w:t xml:space="preserve">« L’Inde a atteint son autosuffisance grâce à la « révolution verte ». Mais ce succès agricole doit être relativisé car son coût est considérable. </w:t>
      </w: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Pr>
          <w:rFonts w:ascii="Times New Roman" w:hAnsi="Times New Roman"/>
          <w:sz w:val="20"/>
        </w:rPr>
        <w:tab/>
        <w:t xml:space="preserve">Coût environnemental : l’agriculture intensive nécessitée par la « révolution verte » a lourdement pollué les nappes phréatiques et les terres des régions concernées, le Pendjab notamment. </w:t>
      </w: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Pr>
          <w:rFonts w:ascii="Times New Roman" w:hAnsi="Times New Roman"/>
          <w:sz w:val="20"/>
        </w:rPr>
        <w:t>Coût social : si l’Inde a banni le spectre des famines, elle n’a pas pu éliminer la malnutrition chronique (…). Les inégalités se sont accrues (…) entre les régions avancées (Pendjab) et les régions pauvres (</w:t>
      </w:r>
      <w:proofErr w:type="spellStart"/>
      <w:r>
        <w:rPr>
          <w:rFonts w:ascii="Times New Roman" w:hAnsi="Times New Roman"/>
          <w:sz w:val="20"/>
        </w:rPr>
        <w:t>Bihar</w:t>
      </w:r>
      <w:proofErr w:type="spellEnd"/>
      <w:r>
        <w:rPr>
          <w:rFonts w:ascii="Times New Roman" w:hAnsi="Times New Roman"/>
          <w:sz w:val="20"/>
        </w:rPr>
        <w:t xml:space="preserve"> ou </w:t>
      </w:r>
      <w:proofErr w:type="spellStart"/>
      <w:r>
        <w:rPr>
          <w:rFonts w:ascii="Times New Roman" w:hAnsi="Times New Roman"/>
          <w:sz w:val="20"/>
        </w:rPr>
        <w:t>Madhya</w:t>
      </w:r>
      <w:proofErr w:type="spellEnd"/>
      <w:r>
        <w:rPr>
          <w:rFonts w:ascii="Times New Roman" w:hAnsi="Times New Roman"/>
          <w:sz w:val="20"/>
        </w:rPr>
        <w:t xml:space="preserve"> </w:t>
      </w:r>
      <w:proofErr w:type="spellStart"/>
      <w:r>
        <w:rPr>
          <w:rFonts w:ascii="Times New Roman" w:hAnsi="Times New Roman"/>
          <w:sz w:val="20"/>
        </w:rPr>
        <w:t>Pradesh</w:t>
      </w:r>
      <w:proofErr w:type="spellEnd"/>
      <w:r>
        <w:rPr>
          <w:rFonts w:ascii="Times New Roman" w:hAnsi="Times New Roman"/>
          <w:sz w:val="20"/>
        </w:rPr>
        <w:t>, régions du nord est de l’Inde).</w:t>
      </w: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Pr>
          <w:rFonts w:ascii="Times New Roman" w:hAnsi="Times New Roman"/>
          <w:sz w:val="20"/>
        </w:rPr>
        <w:t xml:space="preserve">Coût financier enfin : l’investissement massif de l’Etat dans la « révolution verte » a été remis en question depuis la libéralisation de l’économie, amorcée en 1991. </w:t>
      </w:r>
    </w:p>
    <w:p w:rsidR="009D5EBB" w:rsidRDefault="009D5EBB" w:rsidP="009D5EBB">
      <w:pPr>
        <w:pBdr>
          <w:top w:val="single" w:sz="4" w:space="1" w:color="auto"/>
          <w:left w:val="single" w:sz="4" w:space="4" w:color="auto"/>
          <w:bottom w:val="single" w:sz="4" w:space="1" w:color="auto"/>
          <w:right w:val="single" w:sz="4" w:space="4" w:color="auto"/>
        </w:pBdr>
        <w:jc w:val="both"/>
        <w:rPr>
          <w:rFonts w:ascii="Times New Roman" w:hAnsi="Times New Roman"/>
          <w:sz w:val="20"/>
        </w:rPr>
      </w:pPr>
      <w:r>
        <w:rPr>
          <w:rFonts w:ascii="Times New Roman" w:hAnsi="Times New Roman"/>
          <w:sz w:val="20"/>
        </w:rPr>
        <w:t>La baisse des prix agricoles et des subventions étatiques ont ruiné bon nombre de paysans. Plus du quart du milliard d’Indiens n’a pas les moyens d’acheter sa nourriture : en 2002, 60 millions de tonnes de céréales ne trouvaient pas preneur dans les magasins d’Etat pourtant censés approvisionner les plus démunis. »</w:t>
      </w:r>
    </w:p>
    <w:p w:rsidR="009D5EBB" w:rsidRDefault="009D5EBB" w:rsidP="009D5EBB">
      <w:pPr>
        <w:pBdr>
          <w:top w:val="single" w:sz="4" w:space="1" w:color="auto"/>
          <w:left w:val="single" w:sz="4" w:space="4" w:color="auto"/>
          <w:bottom w:val="single" w:sz="4" w:space="1" w:color="auto"/>
          <w:right w:val="single" w:sz="4" w:space="4" w:color="auto"/>
        </w:pBdr>
        <w:jc w:val="right"/>
        <w:rPr>
          <w:rFonts w:ascii="Times New Roman" w:hAnsi="Times New Roman"/>
          <w:sz w:val="20"/>
        </w:rPr>
      </w:pPr>
      <w:r>
        <w:rPr>
          <w:rFonts w:ascii="Times New Roman" w:hAnsi="Times New Roman"/>
          <w:sz w:val="20"/>
        </w:rPr>
        <w:t>Magnard, « Les limites de la « révolution verte » », p. 59.</w:t>
      </w:r>
    </w:p>
    <w:p w:rsidR="009D5EBB" w:rsidRDefault="009D5EBB" w:rsidP="009D5EBB">
      <w:pPr>
        <w:jc w:val="both"/>
        <w:rPr>
          <w:rFonts w:ascii="Times New Roman" w:hAnsi="Times New Roman"/>
          <w:sz w:val="20"/>
        </w:rPr>
      </w:pPr>
    </w:p>
    <w:p w:rsidR="009D5EBB" w:rsidRDefault="009D5EBB" w:rsidP="009D5EBB">
      <w:pPr>
        <w:jc w:val="right"/>
        <w:rPr>
          <w:rFonts w:ascii="Times New Roman" w:hAnsi="Times New Roman"/>
          <w:sz w:val="20"/>
        </w:rPr>
      </w:pPr>
    </w:p>
    <w:p w:rsidR="009D5EBB" w:rsidRPr="00B033AE" w:rsidRDefault="009D5EBB" w:rsidP="009D5EBB">
      <w:pPr>
        <w:jc w:val="both"/>
        <w:rPr>
          <w:rFonts w:ascii="Times New Roman" w:hAnsi="Times New Roman"/>
          <w:b/>
          <w:sz w:val="28"/>
        </w:rPr>
      </w:pPr>
      <w:r w:rsidRPr="00B033AE">
        <w:rPr>
          <w:rFonts w:ascii="Times New Roman" w:hAnsi="Times New Roman"/>
          <w:b/>
          <w:sz w:val="28"/>
        </w:rPr>
        <w:t>Question - Présentez la « révolution verte » au sein du tableau distribué (date, objectifs, moyens techniques, acteur, bilan, limites).</w:t>
      </w:r>
    </w:p>
    <w:p w:rsidR="009D5EBB" w:rsidRPr="009D5EBB" w:rsidRDefault="009D5EBB" w:rsidP="009D5EBB">
      <w:pPr>
        <w:rPr>
          <w:color w:val="FF0000"/>
          <w:u w:val="single"/>
        </w:rPr>
      </w:pPr>
    </w:p>
    <w:p w:rsidR="009D5EBB" w:rsidRDefault="009D5EBB" w:rsidP="009D5EBB">
      <w:pPr>
        <w:jc w:val="both"/>
        <w:rPr>
          <w:rFonts w:ascii="Times New Roman" w:hAnsi="Times New Roman"/>
          <w:i/>
          <w:u w:val="single"/>
        </w:rPr>
      </w:pPr>
    </w:p>
    <w:p w:rsidR="009D5EBB" w:rsidRPr="006D7A36" w:rsidRDefault="009D5EBB" w:rsidP="009D5EBB">
      <w:pPr>
        <w:jc w:val="both"/>
        <w:rPr>
          <w:rFonts w:ascii="Times New Roman" w:hAnsi="Times New Roman"/>
        </w:rPr>
      </w:pPr>
      <w:r w:rsidRPr="006D7A36">
        <w:rPr>
          <w:rFonts w:ascii="Times New Roman" w:hAnsi="Times New Roman"/>
          <w:i/>
          <w:u w:val="single"/>
        </w:rPr>
        <w:t>Consigne </w:t>
      </w:r>
      <w:r w:rsidRPr="006D7A36">
        <w:rPr>
          <w:rFonts w:ascii="Times New Roman" w:hAnsi="Times New Roman"/>
        </w:rPr>
        <w:t xml:space="preserve">: le travail doit être effectué en </w:t>
      </w:r>
      <w:r w:rsidRPr="006D7A36">
        <w:rPr>
          <w:rFonts w:ascii="Times New Roman" w:hAnsi="Times New Roman"/>
          <w:b/>
        </w:rPr>
        <w:t>groupe</w:t>
      </w:r>
      <w:r w:rsidRPr="006D7A36">
        <w:rPr>
          <w:rFonts w:ascii="Times New Roman" w:hAnsi="Times New Roman"/>
        </w:rPr>
        <w:t xml:space="preserve">, c’est-à-dire que les </w:t>
      </w:r>
      <w:r w:rsidRPr="006D7A36">
        <w:rPr>
          <w:rFonts w:ascii="Times New Roman" w:hAnsi="Times New Roman"/>
          <w:b/>
        </w:rPr>
        <w:t>documents doivent être analysés à plusieurs</w:t>
      </w:r>
      <w:r w:rsidRPr="006D7A36">
        <w:rPr>
          <w:rFonts w:ascii="Times New Roman" w:hAnsi="Times New Roman"/>
        </w:rPr>
        <w:t xml:space="preserve"> pour pouvoir s’accorder sur </w:t>
      </w:r>
      <w:r w:rsidRPr="006D7A36">
        <w:rPr>
          <w:rFonts w:ascii="Times New Roman" w:hAnsi="Times New Roman"/>
          <w:b/>
        </w:rPr>
        <w:t>la production d’un travail commun</w:t>
      </w:r>
      <w:r w:rsidRPr="006D7A36">
        <w:rPr>
          <w:rFonts w:ascii="Times New Roman" w:hAnsi="Times New Roman"/>
        </w:rPr>
        <w:t xml:space="preserve">. Il est très important que </w:t>
      </w:r>
      <w:r w:rsidRPr="006D7A36">
        <w:rPr>
          <w:rFonts w:ascii="Times New Roman" w:hAnsi="Times New Roman"/>
          <w:b/>
        </w:rPr>
        <w:t>chaque membre s’investisse dans le travail du groupe</w:t>
      </w:r>
      <w:r w:rsidRPr="006D7A36">
        <w:rPr>
          <w:rFonts w:ascii="Times New Roman" w:hAnsi="Times New Roman"/>
        </w:rPr>
        <w:t xml:space="preserve"> car il devra par la suite expliquer son thème à d’autres élèves et ainsi </w:t>
      </w:r>
      <w:r w:rsidRPr="006D7A36">
        <w:rPr>
          <w:rFonts w:ascii="Times New Roman" w:hAnsi="Times New Roman"/>
          <w:b/>
        </w:rPr>
        <w:t>devenir enseignant</w:t>
      </w:r>
      <w:r w:rsidRPr="006D7A36">
        <w:rPr>
          <w:rFonts w:ascii="Times New Roman" w:hAnsi="Times New Roman"/>
        </w:rPr>
        <w:t xml:space="preserve">. </w:t>
      </w:r>
    </w:p>
    <w:p w:rsidR="009D5EBB" w:rsidRPr="006D7A36" w:rsidRDefault="009D5EBB" w:rsidP="009D5EBB">
      <w:pPr>
        <w:jc w:val="both"/>
        <w:rPr>
          <w:rFonts w:ascii="Times New Roman" w:hAnsi="Times New Roman"/>
        </w:rPr>
      </w:pPr>
    </w:p>
    <w:p w:rsidR="009D5EBB" w:rsidRPr="006D7A36" w:rsidRDefault="009D5EBB" w:rsidP="009D5EBB">
      <w:pPr>
        <w:jc w:val="both"/>
        <w:rPr>
          <w:rFonts w:ascii="Times New Roman" w:hAnsi="Times New Roman"/>
          <w:i/>
          <w:u w:val="single"/>
        </w:rPr>
      </w:pPr>
      <w:r w:rsidRPr="006D7A36">
        <w:rPr>
          <w:rFonts w:ascii="Times New Roman" w:hAnsi="Times New Roman"/>
          <w:i/>
          <w:u w:val="single"/>
        </w:rPr>
        <w:t>Modalités</w:t>
      </w:r>
      <w:r w:rsidRPr="006D7A36">
        <w:rPr>
          <w:rFonts w:ascii="Times New Roman" w:hAnsi="Times New Roman"/>
          <w:u w:val="single"/>
        </w:rPr>
        <w:t> </w:t>
      </w:r>
      <w:r w:rsidRPr="006D7A36">
        <w:rPr>
          <w:rFonts w:ascii="Times New Roman" w:hAnsi="Times New Roman"/>
        </w:rPr>
        <w:t xml:space="preserve">: chaque groupe travaille sur </w:t>
      </w:r>
      <w:r w:rsidRPr="006D7A36">
        <w:rPr>
          <w:rFonts w:ascii="Times New Roman" w:hAnsi="Times New Roman"/>
          <w:b/>
        </w:rPr>
        <w:t>un thème précis de son étude de cas</w:t>
      </w:r>
      <w:r w:rsidRPr="006D7A36">
        <w:rPr>
          <w:rFonts w:ascii="Times New Roman" w:hAnsi="Times New Roman"/>
        </w:rPr>
        <w:t> : « Produire plus pour une population qui augmente » ou « </w:t>
      </w:r>
      <w:r w:rsidR="00F76414" w:rsidRPr="00F76414">
        <w:t>Assurer la sécurité alimentaire des Indiens aujourd’hui et demain</w:t>
      </w:r>
      <w:r w:rsidR="00F76414" w:rsidRPr="006D7A36">
        <w:rPr>
          <w:rFonts w:ascii="Times New Roman" w:hAnsi="Times New Roman"/>
        </w:rPr>
        <w:t xml:space="preserve"> </w:t>
      </w:r>
      <w:r w:rsidRPr="006D7A36">
        <w:rPr>
          <w:rFonts w:ascii="Times New Roman" w:hAnsi="Times New Roman"/>
        </w:rPr>
        <w:t>» « </w:t>
      </w:r>
      <w:r w:rsidR="007C76BE">
        <w:rPr>
          <w:rFonts w:ascii="Times New Roman" w:hAnsi="Times New Roman"/>
        </w:rPr>
        <w:t xml:space="preserve">Développer des agricultures plus durables en Inde </w:t>
      </w:r>
      <w:r w:rsidRPr="006D7A36">
        <w:rPr>
          <w:rFonts w:ascii="Times New Roman" w:hAnsi="Times New Roman"/>
        </w:rPr>
        <w:t xml:space="preserve">». </w:t>
      </w:r>
    </w:p>
    <w:p w:rsidR="009D5EBB" w:rsidRPr="006D7A36" w:rsidRDefault="009D5EBB" w:rsidP="009D5EBB">
      <w:pPr>
        <w:jc w:val="both"/>
        <w:rPr>
          <w:rFonts w:ascii="Times New Roman" w:hAnsi="Times New Roman"/>
        </w:rPr>
      </w:pPr>
    </w:p>
    <w:p w:rsidR="009D5EBB" w:rsidRPr="006D7A36" w:rsidRDefault="00F76414" w:rsidP="00F76414">
      <w:pPr>
        <w:jc w:val="both"/>
        <w:rPr>
          <w:rFonts w:ascii="Times New Roman" w:hAnsi="Times New Roman"/>
        </w:rPr>
      </w:pPr>
      <w:r>
        <w:rPr>
          <w:rFonts w:ascii="Times New Roman" w:hAnsi="Times New Roman"/>
          <w:i/>
          <w:u w:val="single"/>
        </w:rPr>
        <w:t>Production attendue</w:t>
      </w:r>
      <w:r w:rsidR="009D5EBB" w:rsidRPr="006D7A36">
        <w:rPr>
          <w:rFonts w:ascii="Times New Roman" w:hAnsi="Times New Roman"/>
          <w:i/>
          <w:u w:val="single"/>
        </w:rPr>
        <w:t> </w:t>
      </w:r>
      <w:r w:rsidR="009D5EBB" w:rsidRPr="006D7A36">
        <w:rPr>
          <w:rFonts w:ascii="Times New Roman" w:hAnsi="Times New Roman"/>
        </w:rPr>
        <w:t xml:space="preserve">: </w:t>
      </w:r>
      <w:r w:rsidR="009D5EBB" w:rsidRPr="00F76414">
        <w:rPr>
          <w:rFonts w:ascii="Times New Roman" w:hAnsi="Times New Roman"/>
        </w:rPr>
        <w:t xml:space="preserve">chaque groupe </w:t>
      </w:r>
      <w:r>
        <w:rPr>
          <w:rFonts w:ascii="Times New Roman" w:hAnsi="Times New Roman"/>
        </w:rPr>
        <w:t>complète le tableau</w:t>
      </w:r>
      <w:r w:rsidR="009D5EBB" w:rsidRPr="00F76414">
        <w:rPr>
          <w:rFonts w:ascii="Times New Roman" w:hAnsi="Times New Roman"/>
        </w:rPr>
        <w:t>.</w:t>
      </w:r>
      <w:r w:rsidR="009D5EBB" w:rsidRPr="00F76414">
        <w:rPr>
          <w:rFonts w:ascii="Times New Roman" w:hAnsi="Times New Roman"/>
          <w:b/>
        </w:rPr>
        <w:t xml:space="preserve"> Chaque membre note les réponses du groupe </w:t>
      </w:r>
      <w:r>
        <w:rPr>
          <w:rFonts w:ascii="Times New Roman" w:hAnsi="Times New Roman"/>
          <w:b/>
        </w:rPr>
        <w:t>dans son tableau</w:t>
      </w:r>
      <w:r w:rsidR="009D5EBB" w:rsidRPr="00F76414">
        <w:rPr>
          <w:rFonts w:ascii="Times New Roman" w:hAnsi="Times New Roman"/>
        </w:rPr>
        <w:t>.</w:t>
      </w:r>
      <w:r w:rsidR="009D5EBB" w:rsidRPr="00F76414">
        <w:rPr>
          <w:rFonts w:ascii="Times New Roman" w:hAnsi="Times New Roman"/>
          <w:b/>
        </w:rPr>
        <w:t xml:space="preserve"> </w:t>
      </w:r>
    </w:p>
    <w:p w:rsidR="009D5EBB" w:rsidRPr="006D7A36" w:rsidRDefault="009D5EBB" w:rsidP="009D5EBB">
      <w:pPr>
        <w:pStyle w:val="Paragraphedeliste"/>
        <w:jc w:val="both"/>
        <w:rPr>
          <w:rFonts w:ascii="Times New Roman" w:hAnsi="Times New Roman"/>
        </w:rPr>
      </w:pPr>
    </w:p>
    <w:p w:rsidR="009D5EBB" w:rsidRPr="006D7A36" w:rsidRDefault="009D5EBB" w:rsidP="009D5EBB">
      <w:pPr>
        <w:jc w:val="both"/>
        <w:rPr>
          <w:rFonts w:ascii="Times New Roman" w:hAnsi="Times New Roman"/>
        </w:rPr>
      </w:pPr>
      <w:r w:rsidRPr="006D7A36">
        <w:rPr>
          <w:rFonts w:ascii="Times New Roman" w:hAnsi="Times New Roman"/>
          <w:u w:val="single"/>
        </w:rPr>
        <w:t>Répartition des rôles au sein du groupe :</w:t>
      </w:r>
      <w:r w:rsidRPr="006D7A36">
        <w:rPr>
          <w:rFonts w:ascii="Times New Roman" w:hAnsi="Times New Roman"/>
          <w:b/>
        </w:rPr>
        <w:t xml:space="preserve"> </w:t>
      </w:r>
      <w:r w:rsidRPr="006D7A36">
        <w:rPr>
          <w:rFonts w:ascii="Times New Roman" w:hAnsi="Times New Roman"/>
        </w:rPr>
        <w:t xml:space="preserve">chaque membre du groupe a un rôle déterminé : </w:t>
      </w:r>
    </w:p>
    <w:p w:rsidR="009D5EBB" w:rsidRPr="006D7A36" w:rsidRDefault="009D5EBB" w:rsidP="009D5EBB">
      <w:pPr>
        <w:pStyle w:val="Paragraphedeliste"/>
        <w:numPr>
          <w:ilvl w:val="0"/>
          <w:numId w:val="4"/>
        </w:numPr>
        <w:jc w:val="both"/>
        <w:rPr>
          <w:rFonts w:ascii="Times New Roman" w:hAnsi="Times New Roman"/>
          <w:b/>
        </w:rPr>
      </w:pPr>
      <w:r w:rsidRPr="006D7A36">
        <w:rPr>
          <w:rFonts w:ascii="Times New Roman" w:hAnsi="Times New Roman"/>
          <w:u w:val="single"/>
        </w:rPr>
        <w:t>Modérateur du bruit </w:t>
      </w:r>
      <w:r w:rsidRPr="006D7A36">
        <w:rPr>
          <w:rFonts w:ascii="Times New Roman" w:hAnsi="Times New Roman"/>
        </w:rPr>
        <w:t xml:space="preserve">: il s’assure que les membres du groupe chuchotent et c’est à lui que s’adresse le professeur en cas de non respect du volume sonore. </w:t>
      </w:r>
    </w:p>
    <w:p w:rsidR="009D5EBB" w:rsidRPr="006D7A36" w:rsidRDefault="009D5EBB" w:rsidP="009D5EBB">
      <w:pPr>
        <w:pStyle w:val="Paragraphedeliste"/>
        <w:numPr>
          <w:ilvl w:val="0"/>
          <w:numId w:val="4"/>
        </w:numPr>
        <w:jc w:val="both"/>
        <w:rPr>
          <w:rFonts w:ascii="Times New Roman" w:hAnsi="Times New Roman"/>
          <w:b/>
        </w:rPr>
      </w:pPr>
      <w:r w:rsidRPr="006D7A36">
        <w:rPr>
          <w:rFonts w:ascii="Times New Roman" w:hAnsi="Times New Roman"/>
          <w:u w:val="single"/>
        </w:rPr>
        <w:t>Responsable de la gestion du temps </w:t>
      </w:r>
      <w:r w:rsidRPr="006D7A36">
        <w:rPr>
          <w:rFonts w:ascii="Times New Roman" w:hAnsi="Times New Roman"/>
        </w:rPr>
        <w:t xml:space="preserve">: il s’assure que les différentes productions sont réalisées dans le temps conseillé. </w:t>
      </w:r>
    </w:p>
    <w:p w:rsidR="00DF66B2" w:rsidRPr="00DF66B2" w:rsidRDefault="009D5EBB" w:rsidP="009D5EBB">
      <w:pPr>
        <w:pStyle w:val="Paragraphedeliste"/>
        <w:numPr>
          <w:ilvl w:val="0"/>
          <w:numId w:val="4"/>
        </w:numPr>
        <w:jc w:val="both"/>
        <w:rPr>
          <w:rFonts w:ascii="Times New Roman" w:hAnsi="Times New Roman"/>
          <w:b/>
        </w:rPr>
      </w:pPr>
      <w:r w:rsidRPr="006D7A36">
        <w:rPr>
          <w:rFonts w:ascii="Times New Roman" w:hAnsi="Times New Roman"/>
          <w:u w:val="single"/>
        </w:rPr>
        <w:t>Responsable de l’investissement de chaque membre du groupe </w:t>
      </w:r>
      <w:r w:rsidRPr="006D7A36">
        <w:rPr>
          <w:rFonts w:ascii="Times New Roman" w:hAnsi="Times New Roman"/>
        </w:rPr>
        <w:t xml:space="preserve">: il s’assure de la participation de chacun et prévient le professeur si ce n’est pas le cas. </w:t>
      </w:r>
    </w:p>
    <w:p w:rsidR="00DF66B2" w:rsidRPr="006D7A36" w:rsidRDefault="00DF66B2" w:rsidP="00DF66B2">
      <w:pPr>
        <w:pStyle w:val="Paragraphedeliste"/>
        <w:numPr>
          <w:ilvl w:val="0"/>
          <w:numId w:val="4"/>
        </w:numPr>
        <w:jc w:val="both"/>
        <w:rPr>
          <w:rFonts w:ascii="Times New Roman" w:hAnsi="Times New Roman"/>
          <w:b/>
        </w:rPr>
      </w:pPr>
      <w:r>
        <w:rPr>
          <w:rFonts w:ascii="Times New Roman" w:hAnsi="Times New Roman"/>
          <w:u w:val="single"/>
        </w:rPr>
        <w:t>Agent secret </w:t>
      </w:r>
      <w:r>
        <w:rPr>
          <w:rFonts w:ascii="Times New Roman" w:hAnsi="Times New Roman"/>
        </w:rPr>
        <w:t xml:space="preserve">: lorsque son groupe est difficulté, il peut se déplacer pour aller observer le travail des autres groupes, leur poser des questions et ainsi récolter les informations utiles à son groupe. </w:t>
      </w:r>
    </w:p>
    <w:p w:rsidR="009D5EBB" w:rsidRPr="00DF66B2" w:rsidRDefault="009D5EBB" w:rsidP="00DF66B2">
      <w:pPr>
        <w:jc w:val="both"/>
        <w:rPr>
          <w:rFonts w:ascii="Times New Roman" w:hAnsi="Times New Roman"/>
          <w:b/>
        </w:rPr>
      </w:pPr>
    </w:p>
    <w:p w:rsidR="009D5EBB" w:rsidRPr="006D7A36" w:rsidRDefault="009D5EBB" w:rsidP="009D5EBB">
      <w:pPr>
        <w:jc w:val="both"/>
        <w:rPr>
          <w:rFonts w:ascii="Times New Roman" w:hAnsi="Times New Roman"/>
          <w:i/>
          <w:u w:val="single"/>
        </w:rPr>
      </w:pPr>
    </w:p>
    <w:p w:rsidR="009D5EBB" w:rsidRPr="006D7A36" w:rsidRDefault="009D5EBB" w:rsidP="009D5EBB">
      <w:pPr>
        <w:jc w:val="both"/>
        <w:rPr>
          <w:rFonts w:ascii="Times New Roman" w:hAnsi="Times New Roman"/>
        </w:rPr>
      </w:pPr>
      <w:r w:rsidRPr="006D7A36">
        <w:rPr>
          <w:rFonts w:ascii="Times New Roman" w:hAnsi="Times New Roman"/>
          <w:i/>
          <w:u w:val="single"/>
        </w:rPr>
        <w:t>Temps de l’activité </w:t>
      </w:r>
      <w:r w:rsidRPr="006D7A36">
        <w:rPr>
          <w:rFonts w:ascii="Times New Roman" w:hAnsi="Times New Roman"/>
        </w:rPr>
        <w:t xml:space="preserve">: 50 minutes. </w:t>
      </w:r>
    </w:p>
    <w:p w:rsidR="009D5EBB" w:rsidRPr="006D7A36" w:rsidRDefault="009D5EBB" w:rsidP="009D5EBB">
      <w:pPr>
        <w:jc w:val="both"/>
        <w:rPr>
          <w:rFonts w:ascii="Times New Roman" w:hAnsi="Times New Roman"/>
          <w:b/>
        </w:rPr>
      </w:pPr>
    </w:p>
    <w:p w:rsidR="009D5EBB" w:rsidRPr="006D7A36" w:rsidRDefault="009D5EBB" w:rsidP="009D5EBB">
      <w:pPr>
        <w:jc w:val="both"/>
        <w:rPr>
          <w:rFonts w:ascii="Times New Roman" w:hAnsi="Times New Roman"/>
        </w:rPr>
      </w:pPr>
      <w:r w:rsidRPr="006D7A36">
        <w:rPr>
          <w:rFonts w:ascii="Times New Roman" w:hAnsi="Times New Roman"/>
          <w:i/>
          <w:u w:val="single"/>
        </w:rPr>
        <w:t>Evaluation</w:t>
      </w:r>
      <w:r w:rsidRPr="006D7A36">
        <w:rPr>
          <w:rFonts w:ascii="Times New Roman" w:hAnsi="Times New Roman"/>
          <w:i/>
        </w:rPr>
        <w:t> </w:t>
      </w:r>
      <w:proofErr w:type="gramStart"/>
      <w:r w:rsidRPr="006D7A36">
        <w:rPr>
          <w:rFonts w:ascii="Times New Roman" w:hAnsi="Times New Roman"/>
        </w:rPr>
        <w:t>:  /</w:t>
      </w:r>
      <w:proofErr w:type="gramEnd"/>
      <w:r w:rsidRPr="006D7A36">
        <w:rPr>
          <w:rFonts w:ascii="Times New Roman" w:hAnsi="Times New Roman"/>
        </w:rPr>
        <w:t>10</w:t>
      </w:r>
    </w:p>
    <w:p w:rsidR="009D5EBB" w:rsidRPr="006D7A36" w:rsidRDefault="009D5EBB" w:rsidP="009D5EBB">
      <w:pPr>
        <w:pStyle w:val="Paragraphedeliste"/>
        <w:numPr>
          <w:ilvl w:val="0"/>
          <w:numId w:val="2"/>
        </w:numPr>
        <w:jc w:val="both"/>
        <w:rPr>
          <w:rFonts w:ascii="Times New Roman" w:hAnsi="Times New Roman"/>
        </w:rPr>
      </w:pPr>
      <w:r w:rsidRPr="006D7A36">
        <w:rPr>
          <w:rFonts w:ascii="Times New Roman" w:hAnsi="Times New Roman"/>
          <w:b/>
        </w:rPr>
        <w:t xml:space="preserve">Production finale </w:t>
      </w:r>
      <w:r w:rsidRPr="006D7A36">
        <w:rPr>
          <w:rFonts w:ascii="Times New Roman" w:hAnsi="Times New Roman"/>
        </w:rPr>
        <w:t xml:space="preserve">(tableau) :  </w:t>
      </w:r>
      <w:r w:rsidRPr="006D7A36">
        <w:rPr>
          <w:rFonts w:ascii="Times New Roman" w:hAnsi="Times New Roman"/>
          <w:b/>
        </w:rPr>
        <w:t xml:space="preserve">       /5</w:t>
      </w:r>
    </w:p>
    <w:p w:rsidR="009D5EBB" w:rsidRPr="006D7A36" w:rsidRDefault="009D5EBB" w:rsidP="009D5EBB">
      <w:pPr>
        <w:pStyle w:val="Paragraphedeliste"/>
        <w:numPr>
          <w:ilvl w:val="0"/>
          <w:numId w:val="2"/>
        </w:numPr>
        <w:jc w:val="both"/>
        <w:rPr>
          <w:rFonts w:ascii="Times New Roman" w:hAnsi="Times New Roman"/>
        </w:rPr>
      </w:pPr>
      <w:r w:rsidRPr="006D7A36">
        <w:rPr>
          <w:rFonts w:ascii="Times New Roman" w:hAnsi="Times New Roman"/>
          <w:b/>
        </w:rPr>
        <w:t>Attitude du groupe (</w:t>
      </w:r>
      <w:r w:rsidRPr="006D7A36">
        <w:rPr>
          <w:rFonts w:ascii="Times New Roman" w:hAnsi="Times New Roman"/>
        </w:rPr>
        <w:t>concertation, sérieux,</w:t>
      </w:r>
      <w:r w:rsidRPr="006D7A36">
        <w:rPr>
          <w:rFonts w:ascii="Times New Roman" w:hAnsi="Times New Roman"/>
          <w:b/>
        </w:rPr>
        <w:t xml:space="preserve"> </w:t>
      </w:r>
      <w:r w:rsidR="00DF66B2">
        <w:rPr>
          <w:rFonts w:ascii="Times New Roman" w:hAnsi="Times New Roman"/>
        </w:rPr>
        <w:t>respect du rôle de chacun</w:t>
      </w:r>
      <w:r w:rsidRPr="006D7A36">
        <w:rPr>
          <w:rFonts w:ascii="Times New Roman" w:hAnsi="Times New Roman"/>
          <w:b/>
        </w:rPr>
        <w:t>)      /5</w:t>
      </w:r>
    </w:p>
    <w:p w:rsidR="00B033AE" w:rsidRDefault="00B033AE"/>
    <w:p w:rsidR="00B033AE" w:rsidRDefault="00B033AE"/>
    <w:p w:rsidR="00B033AE" w:rsidRDefault="00B033AE"/>
    <w:p w:rsidR="003473B3" w:rsidRDefault="003473B3"/>
    <w:p w:rsidR="00B033AE" w:rsidRDefault="00B033AE"/>
    <w:tbl>
      <w:tblPr>
        <w:tblStyle w:val="Grille"/>
        <w:tblW w:w="0" w:type="auto"/>
        <w:tblLook w:val="00BF"/>
      </w:tblPr>
      <w:tblGrid>
        <w:gridCol w:w="2014"/>
        <w:gridCol w:w="8968"/>
      </w:tblGrid>
      <w:tr w:rsidR="00B033AE">
        <w:tc>
          <w:tcPr>
            <w:tcW w:w="15840" w:type="dxa"/>
            <w:gridSpan w:val="2"/>
            <w:vAlign w:val="center"/>
          </w:tcPr>
          <w:p w:rsidR="00B033AE" w:rsidRPr="00B6047E" w:rsidRDefault="00B033AE" w:rsidP="00B6047E">
            <w:pPr>
              <w:jc w:val="center"/>
              <w:rPr>
                <w:b/>
              </w:rPr>
            </w:pPr>
            <w:r w:rsidRPr="00B6047E">
              <w:rPr>
                <w:b/>
              </w:rPr>
              <w:t>La révolution verte en Inde</w:t>
            </w:r>
          </w:p>
        </w:tc>
      </w:tr>
      <w:tr w:rsidR="00B033AE">
        <w:tc>
          <w:tcPr>
            <w:tcW w:w="2376" w:type="dxa"/>
            <w:vAlign w:val="center"/>
          </w:tcPr>
          <w:p w:rsidR="00B033AE" w:rsidRPr="00B6047E" w:rsidRDefault="00B033AE" w:rsidP="00B6047E">
            <w:pPr>
              <w:jc w:val="center"/>
              <w:rPr>
                <w:b/>
              </w:rPr>
            </w:pPr>
            <w:r w:rsidRPr="00B6047E">
              <w:rPr>
                <w:b/>
              </w:rPr>
              <w:t>Dates</w:t>
            </w:r>
          </w:p>
        </w:tc>
        <w:tc>
          <w:tcPr>
            <w:tcW w:w="13464" w:type="dxa"/>
            <w:vAlign w:val="center"/>
          </w:tcPr>
          <w:p w:rsidR="00B033AE" w:rsidRDefault="00B033AE" w:rsidP="00B6047E">
            <w:pPr>
              <w:jc w:val="center"/>
              <w:rPr>
                <w:b/>
              </w:rPr>
            </w:pPr>
          </w:p>
          <w:p w:rsidR="00B033AE" w:rsidRDefault="00B033AE" w:rsidP="00B6047E">
            <w:pPr>
              <w:jc w:val="center"/>
              <w:rPr>
                <w:b/>
              </w:rPr>
            </w:pPr>
          </w:p>
          <w:p w:rsidR="00B033AE" w:rsidRPr="00B6047E" w:rsidRDefault="00B033AE" w:rsidP="00B6047E">
            <w:pPr>
              <w:jc w:val="center"/>
              <w:rPr>
                <w:b/>
              </w:rPr>
            </w:pPr>
          </w:p>
        </w:tc>
      </w:tr>
      <w:tr w:rsidR="00B033AE">
        <w:tc>
          <w:tcPr>
            <w:tcW w:w="2376" w:type="dxa"/>
            <w:vAlign w:val="center"/>
          </w:tcPr>
          <w:p w:rsidR="00B033AE" w:rsidRPr="00B6047E" w:rsidRDefault="00B033AE" w:rsidP="00B6047E">
            <w:pPr>
              <w:jc w:val="center"/>
              <w:rPr>
                <w:b/>
              </w:rPr>
            </w:pPr>
            <w:r w:rsidRPr="00B6047E">
              <w:rPr>
                <w:b/>
              </w:rPr>
              <w:t>Objectifs</w:t>
            </w:r>
          </w:p>
        </w:tc>
        <w:tc>
          <w:tcPr>
            <w:tcW w:w="13464" w:type="dxa"/>
            <w:vAlign w:val="center"/>
          </w:tcPr>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Pr="00B6047E" w:rsidRDefault="00B033AE" w:rsidP="00B6047E">
            <w:pPr>
              <w:jc w:val="center"/>
              <w:rPr>
                <w:b/>
              </w:rPr>
            </w:pPr>
          </w:p>
        </w:tc>
      </w:tr>
      <w:tr w:rsidR="00B033AE">
        <w:tc>
          <w:tcPr>
            <w:tcW w:w="2376" w:type="dxa"/>
            <w:vAlign w:val="center"/>
          </w:tcPr>
          <w:p w:rsidR="00B033AE" w:rsidRPr="00B6047E" w:rsidRDefault="00B033AE" w:rsidP="00B6047E">
            <w:pPr>
              <w:jc w:val="center"/>
              <w:rPr>
                <w:b/>
              </w:rPr>
            </w:pPr>
            <w:r w:rsidRPr="00B6047E">
              <w:rPr>
                <w:b/>
              </w:rPr>
              <w:t>Moyens techniques</w:t>
            </w:r>
          </w:p>
        </w:tc>
        <w:tc>
          <w:tcPr>
            <w:tcW w:w="13464" w:type="dxa"/>
            <w:vAlign w:val="center"/>
          </w:tcPr>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Pr="00B6047E" w:rsidRDefault="00B033AE" w:rsidP="00B6047E">
            <w:pPr>
              <w:jc w:val="center"/>
              <w:rPr>
                <w:b/>
              </w:rPr>
            </w:pPr>
          </w:p>
        </w:tc>
      </w:tr>
      <w:tr w:rsidR="00B033AE">
        <w:tc>
          <w:tcPr>
            <w:tcW w:w="2376" w:type="dxa"/>
            <w:vAlign w:val="center"/>
          </w:tcPr>
          <w:p w:rsidR="00B033AE" w:rsidRPr="00B6047E" w:rsidRDefault="00B033AE" w:rsidP="00B6047E">
            <w:pPr>
              <w:jc w:val="center"/>
              <w:rPr>
                <w:b/>
              </w:rPr>
            </w:pPr>
            <w:r w:rsidRPr="00B6047E">
              <w:rPr>
                <w:b/>
              </w:rPr>
              <w:t>Acteurs</w:t>
            </w:r>
          </w:p>
        </w:tc>
        <w:tc>
          <w:tcPr>
            <w:tcW w:w="13464" w:type="dxa"/>
            <w:vAlign w:val="center"/>
          </w:tcPr>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Pr="00B6047E" w:rsidRDefault="00B033AE" w:rsidP="00B6047E">
            <w:pPr>
              <w:jc w:val="center"/>
              <w:rPr>
                <w:b/>
              </w:rPr>
            </w:pPr>
          </w:p>
        </w:tc>
      </w:tr>
      <w:tr w:rsidR="00B033AE">
        <w:tc>
          <w:tcPr>
            <w:tcW w:w="2376" w:type="dxa"/>
            <w:vAlign w:val="center"/>
          </w:tcPr>
          <w:p w:rsidR="00B033AE" w:rsidRPr="00B6047E" w:rsidRDefault="00B033AE" w:rsidP="00B6047E">
            <w:pPr>
              <w:jc w:val="center"/>
              <w:rPr>
                <w:b/>
              </w:rPr>
            </w:pPr>
            <w:r w:rsidRPr="00B6047E">
              <w:rPr>
                <w:b/>
              </w:rPr>
              <w:t>Bilan positif</w:t>
            </w:r>
          </w:p>
        </w:tc>
        <w:tc>
          <w:tcPr>
            <w:tcW w:w="13464" w:type="dxa"/>
            <w:vAlign w:val="center"/>
          </w:tcPr>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Pr="00B6047E" w:rsidRDefault="00B033AE" w:rsidP="00B6047E">
            <w:pPr>
              <w:jc w:val="center"/>
              <w:rPr>
                <w:b/>
              </w:rPr>
            </w:pPr>
          </w:p>
        </w:tc>
      </w:tr>
      <w:tr w:rsidR="00B033AE">
        <w:tc>
          <w:tcPr>
            <w:tcW w:w="2376" w:type="dxa"/>
            <w:vAlign w:val="center"/>
          </w:tcPr>
          <w:p w:rsidR="00B033AE" w:rsidRPr="00B6047E" w:rsidRDefault="00DF66B2" w:rsidP="00B6047E">
            <w:pPr>
              <w:jc w:val="center"/>
              <w:rPr>
                <w:b/>
              </w:rPr>
            </w:pPr>
            <w:r>
              <w:rPr>
                <w:b/>
              </w:rPr>
              <w:t>Lim</w:t>
            </w:r>
            <w:r w:rsidR="00B033AE" w:rsidRPr="00B6047E">
              <w:rPr>
                <w:b/>
              </w:rPr>
              <w:t>ites</w:t>
            </w:r>
          </w:p>
        </w:tc>
        <w:tc>
          <w:tcPr>
            <w:tcW w:w="13464" w:type="dxa"/>
            <w:vAlign w:val="center"/>
          </w:tcPr>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jc w:val="center"/>
              <w:rPr>
                <w:b/>
              </w:rPr>
            </w:pPr>
          </w:p>
          <w:p w:rsidR="00B033AE" w:rsidRDefault="00B033AE" w:rsidP="00B6047E">
            <w:pPr>
              <w:rPr>
                <w:b/>
              </w:rPr>
            </w:pPr>
          </w:p>
          <w:p w:rsidR="00B033AE" w:rsidRDefault="00B033AE" w:rsidP="00B6047E">
            <w:pPr>
              <w:rPr>
                <w:b/>
              </w:rPr>
            </w:pPr>
          </w:p>
          <w:p w:rsidR="00B033AE" w:rsidRDefault="00B033AE" w:rsidP="00B6047E">
            <w:pPr>
              <w:rPr>
                <w:b/>
              </w:rPr>
            </w:pPr>
          </w:p>
          <w:p w:rsidR="00B033AE" w:rsidRDefault="00B033AE" w:rsidP="00B6047E">
            <w:pPr>
              <w:rPr>
                <w:b/>
              </w:rPr>
            </w:pPr>
          </w:p>
          <w:p w:rsidR="00B033AE" w:rsidRPr="00B6047E" w:rsidRDefault="00B033AE" w:rsidP="00B6047E">
            <w:pPr>
              <w:rPr>
                <w:b/>
              </w:rPr>
            </w:pPr>
          </w:p>
        </w:tc>
      </w:tr>
    </w:tbl>
    <w:p w:rsidR="009D5EBB" w:rsidRDefault="009D5EBB"/>
    <w:sectPr w:rsidR="009D5EBB" w:rsidSect="009D5EBB">
      <w:headerReference w:type="even" r:id="rId6"/>
      <w:headerReference w:type="default" r:id="rId7"/>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D5EBB" w:rsidRDefault="00B93509" w:rsidP="009D5EBB">
    <w:pPr>
      <w:pStyle w:val="En-tte"/>
      <w:framePr w:wrap="around" w:vAnchor="text" w:hAnchor="margin" w:xAlign="right" w:y="1"/>
      <w:rPr>
        <w:rStyle w:val="Numrodepage"/>
      </w:rPr>
    </w:pPr>
    <w:r>
      <w:rPr>
        <w:rStyle w:val="Numrodepage"/>
      </w:rPr>
      <w:fldChar w:fldCharType="begin"/>
    </w:r>
    <w:r w:rsidR="00B1595A">
      <w:rPr>
        <w:rStyle w:val="Numrodepage"/>
      </w:rPr>
      <w:instrText>PAGE</w:instrText>
    </w:r>
    <w:r w:rsidR="009D5EBB">
      <w:rPr>
        <w:rStyle w:val="Numrodepage"/>
      </w:rPr>
      <w:instrText xml:space="preserve">  </w:instrText>
    </w:r>
    <w:r>
      <w:rPr>
        <w:rStyle w:val="Numrodepage"/>
      </w:rPr>
      <w:fldChar w:fldCharType="end"/>
    </w:r>
  </w:p>
  <w:p w:rsidR="009D5EBB" w:rsidRDefault="009D5EBB" w:rsidP="009D5EBB">
    <w:pPr>
      <w:pStyle w:val="En-tte"/>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D5EBB" w:rsidRDefault="00B93509" w:rsidP="009D5EBB">
    <w:pPr>
      <w:pStyle w:val="En-tte"/>
      <w:framePr w:wrap="around" w:vAnchor="text" w:hAnchor="margin" w:xAlign="right" w:y="1"/>
      <w:rPr>
        <w:rStyle w:val="Numrodepage"/>
      </w:rPr>
    </w:pPr>
    <w:r>
      <w:rPr>
        <w:rStyle w:val="Numrodepage"/>
      </w:rPr>
      <w:fldChar w:fldCharType="begin"/>
    </w:r>
    <w:r w:rsidR="00B1595A">
      <w:rPr>
        <w:rStyle w:val="Numrodepage"/>
      </w:rPr>
      <w:instrText>PAGE</w:instrText>
    </w:r>
    <w:r w:rsidR="009D5EBB">
      <w:rPr>
        <w:rStyle w:val="Numrodepage"/>
      </w:rPr>
      <w:instrText xml:space="preserve">  </w:instrText>
    </w:r>
    <w:r>
      <w:rPr>
        <w:rStyle w:val="Numrodepage"/>
      </w:rPr>
      <w:fldChar w:fldCharType="separate"/>
    </w:r>
    <w:r w:rsidR="000F472C">
      <w:rPr>
        <w:rStyle w:val="Numrodepage"/>
        <w:noProof/>
      </w:rPr>
      <w:t>1</w:t>
    </w:r>
    <w:r>
      <w:rPr>
        <w:rStyle w:val="Numrodepage"/>
      </w:rPr>
      <w:fldChar w:fldCharType="end"/>
    </w:r>
  </w:p>
  <w:p w:rsidR="009D5EBB" w:rsidRDefault="009D5EBB" w:rsidP="009D5EBB">
    <w:pPr>
      <w:pStyle w:val="En-tte"/>
      <w:ind w:right="360"/>
    </w:pPr>
    <w:r>
      <w:t>Etude de cas (élèves) – Nourrir la population indienne.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3218BB"/>
    <w:multiLevelType w:val="hybridMultilevel"/>
    <w:tmpl w:val="C1C8A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7F727A"/>
    <w:multiLevelType w:val="hybridMultilevel"/>
    <w:tmpl w:val="E3DC1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5E400F"/>
    <w:multiLevelType w:val="hybridMultilevel"/>
    <w:tmpl w:val="7F8A3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D5391D"/>
    <w:multiLevelType w:val="hybridMultilevel"/>
    <w:tmpl w:val="8A3A7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2D4549"/>
    <w:multiLevelType w:val="hybridMultilevel"/>
    <w:tmpl w:val="4162C9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9D5EBB"/>
    <w:rsid w:val="000F472C"/>
    <w:rsid w:val="003473B3"/>
    <w:rsid w:val="005C498F"/>
    <w:rsid w:val="005F5427"/>
    <w:rsid w:val="007C76BE"/>
    <w:rsid w:val="008B52AE"/>
    <w:rsid w:val="009D5EBB"/>
    <w:rsid w:val="00B033AE"/>
    <w:rsid w:val="00B1595A"/>
    <w:rsid w:val="00B8502D"/>
    <w:rsid w:val="00B93509"/>
    <w:rsid w:val="00C2788D"/>
    <w:rsid w:val="00DF66B2"/>
    <w:rsid w:val="00F76414"/>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B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9D5EBB"/>
    <w:pPr>
      <w:tabs>
        <w:tab w:val="center" w:pos="4536"/>
        <w:tab w:val="right" w:pos="9072"/>
      </w:tabs>
    </w:pPr>
  </w:style>
  <w:style w:type="character" w:customStyle="1" w:styleId="En-tteCar">
    <w:name w:val="En-tête Car"/>
    <w:basedOn w:val="Policepardfaut"/>
    <w:link w:val="En-tte"/>
    <w:uiPriority w:val="99"/>
    <w:semiHidden/>
    <w:rsid w:val="009D5EBB"/>
  </w:style>
  <w:style w:type="character" w:styleId="Numrodepage">
    <w:name w:val="page number"/>
    <w:basedOn w:val="Policepardfaut"/>
    <w:uiPriority w:val="99"/>
    <w:semiHidden/>
    <w:unhideWhenUsed/>
    <w:rsid w:val="009D5EBB"/>
  </w:style>
  <w:style w:type="paragraph" w:styleId="Paragraphedeliste">
    <w:name w:val="List Paragraph"/>
    <w:basedOn w:val="Normal"/>
    <w:uiPriority w:val="34"/>
    <w:qFormat/>
    <w:rsid w:val="009D5EBB"/>
    <w:pPr>
      <w:ind w:left="720"/>
      <w:contextualSpacing/>
    </w:pPr>
  </w:style>
  <w:style w:type="table" w:styleId="Grille">
    <w:name w:val="Table Grid"/>
    <w:basedOn w:val="TableauNormal"/>
    <w:uiPriority w:val="59"/>
    <w:rsid w:val="009D5E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5633</Characters>
  <Application>Microsoft Word 12.1.0</Application>
  <DocSecurity>0</DocSecurity>
  <Lines>46</Lines>
  <Paragraphs>11</Paragraphs>
  <ScaleCrop>false</ScaleCrop>
  <LinksUpToDate>false</LinksUpToDate>
  <CharactersWithSpaces>6917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Castets</dc:creator>
  <cp:keywords/>
  <cp:lastModifiedBy>Sabine Castets</cp:lastModifiedBy>
  <cp:revision>2</cp:revision>
  <dcterms:created xsi:type="dcterms:W3CDTF">2019-01-06T17:28:00Z</dcterms:created>
  <dcterms:modified xsi:type="dcterms:W3CDTF">2019-01-06T17:28:00Z</dcterms:modified>
</cp:coreProperties>
</file>