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110F" w:rsidRPr="00E84506" w:rsidRDefault="0091110F" w:rsidP="0091110F">
      <w:pPr>
        <w:jc w:val="center"/>
        <w:rPr>
          <w:color w:val="FF0000"/>
          <w:sz w:val="36"/>
          <w:szCs w:val="20"/>
          <w:lang w:eastAsia="fr-FR"/>
        </w:rPr>
      </w:pPr>
      <w:r w:rsidRPr="00E84506">
        <w:rPr>
          <w:color w:val="FF0000"/>
          <w:sz w:val="36"/>
          <w:u w:val="single"/>
          <w:lang w:eastAsia="fr-FR"/>
        </w:rPr>
        <w:t>Jalon 1 - L'enjeu de la langue : diffuser sa langue pour accroître son influence</w:t>
      </w:r>
    </w:p>
    <w:p w:rsidR="0091110F" w:rsidRDefault="0091110F" w:rsidP="0091110F"/>
    <w:p w:rsidR="0091110F" w:rsidRPr="003E21D4" w:rsidRDefault="0091110F" w:rsidP="0091110F">
      <w:pPr>
        <w:rPr>
          <w:rFonts w:ascii="Times" w:hAnsi="Times"/>
          <w:sz w:val="20"/>
          <w:szCs w:val="20"/>
          <w:lang w:eastAsia="fr-FR"/>
        </w:rPr>
      </w:pPr>
      <w:r w:rsidRPr="003E21D4">
        <w:rPr>
          <w:rFonts w:ascii="Times" w:hAnsi="Times"/>
          <w:b/>
          <w:sz w:val="20"/>
          <w:szCs w:val="20"/>
          <w:lang w:eastAsia="fr-FR"/>
        </w:rPr>
        <w:t>Question </w:t>
      </w:r>
      <w:r>
        <w:rPr>
          <w:rFonts w:ascii="Times" w:hAnsi="Times"/>
          <w:sz w:val="20"/>
          <w:szCs w:val="20"/>
          <w:lang w:eastAsia="fr-FR"/>
        </w:rPr>
        <w:t>: c</w:t>
      </w:r>
      <w:r w:rsidRPr="003E21D4">
        <w:rPr>
          <w:rFonts w:ascii="Times" w:hAnsi="Times"/>
          <w:sz w:val="20"/>
          <w:szCs w:val="20"/>
          <w:lang w:eastAsia="fr-FR"/>
        </w:rPr>
        <w:t>omment la diffusion de la langue permet-elle d’accroître l’influence et la puissance des États sur la scène internationale ?</w:t>
      </w:r>
    </w:p>
    <w:p w:rsidR="0091110F" w:rsidRDefault="0091110F" w:rsidP="0091110F">
      <w:pPr>
        <w:rPr>
          <w:rFonts w:ascii="Times" w:hAnsi="Times"/>
          <w:sz w:val="20"/>
          <w:szCs w:val="20"/>
          <w:lang w:eastAsia="fr-FR"/>
        </w:rPr>
      </w:pPr>
      <w:r w:rsidRPr="003E21D4">
        <w:rPr>
          <w:rFonts w:ascii="Times" w:hAnsi="Times"/>
          <w:b/>
          <w:sz w:val="20"/>
          <w:szCs w:val="20"/>
          <w:lang w:eastAsia="fr-FR"/>
        </w:rPr>
        <w:t>Objectif </w:t>
      </w:r>
      <w:r>
        <w:rPr>
          <w:rFonts w:ascii="Times" w:hAnsi="Times"/>
          <w:sz w:val="20"/>
          <w:szCs w:val="20"/>
          <w:lang w:eastAsia="fr-FR"/>
        </w:rPr>
        <w:t>: m</w:t>
      </w:r>
      <w:r w:rsidRPr="003E21D4">
        <w:rPr>
          <w:rFonts w:ascii="Times" w:hAnsi="Times"/>
          <w:sz w:val="20"/>
          <w:szCs w:val="20"/>
          <w:lang w:eastAsia="fr-FR"/>
        </w:rPr>
        <w:t xml:space="preserve">ontrer que la langue constitue un instrument privilégié du </w:t>
      </w:r>
      <w:r w:rsidRPr="003E21D4">
        <w:rPr>
          <w:rFonts w:ascii="Times" w:hAnsi="Times"/>
          <w:i/>
          <w:sz w:val="20"/>
          <w:szCs w:val="20"/>
          <w:lang w:eastAsia="fr-FR"/>
        </w:rPr>
        <w:t>soft power</w:t>
      </w:r>
      <w:r w:rsidRPr="003E21D4">
        <w:rPr>
          <w:rFonts w:ascii="Times" w:hAnsi="Times"/>
          <w:sz w:val="20"/>
          <w:szCs w:val="20"/>
          <w:lang w:eastAsia="fr-FR"/>
        </w:rPr>
        <w:t xml:space="preserve"> des États et que le rayonnement culturel qu’elle permet leur confère une forme indirecte de puissance</w:t>
      </w:r>
      <w:r>
        <w:rPr>
          <w:rFonts w:ascii="Times" w:hAnsi="Times"/>
          <w:sz w:val="20"/>
          <w:szCs w:val="20"/>
          <w:lang w:eastAsia="fr-FR"/>
        </w:rPr>
        <w:t>.</w:t>
      </w:r>
    </w:p>
    <w:p w:rsidR="0091110F" w:rsidRDefault="0091110F" w:rsidP="0091110F">
      <w:pPr>
        <w:rPr>
          <w:rFonts w:ascii="Times" w:hAnsi="Times"/>
          <w:sz w:val="20"/>
          <w:szCs w:val="20"/>
          <w:lang w:eastAsia="fr-FR"/>
        </w:rPr>
      </w:pPr>
    </w:p>
    <w:tbl>
      <w:tblPr>
        <w:tblStyle w:val="Grille"/>
        <w:tblW w:w="0" w:type="auto"/>
        <w:tblLook w:val="00BF"/>
      </w:tblPr>
      <w:tblGrid>
        <w:gridCol w:w="2943"/>
        <w:gridCol w:w="1305"/>
        <w:gridCol w:w="11592"/>
      </w:tblGrid>
      <w:tr w:rsidR="0091110F">
        <w:tc>
          <w:tcPr>
            <w:tcW w:w="15840" w:type="dxa"/>
            <w:gridSpan w:val="3"/>
            <w:vAlign w:val="center"/>
          </w:tcPr>
          <w:p w:rsidR="0091110F" w:rsidRPr="00516C19" w:rsidRDefault="0091110F" w:rsidP="00516C19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La langue : un vecteur d’influence et d’enjeu de puissance</w:t>
            </w:r>
          </w:p>
        </w:tc>
      </w:tr>
      <w:tr w:rsidR="0091110F" w:rsidRPr="00516C19" w:rsidTr="00F367EA">
        <w:tc>
          <w:tcPr>
            <w:tcW w:w="2943" w:type="dxa"/>
            <w:vAlign w:val="center"/>
          </w:tcPr>
          <w:p w:rsidR="0091110F" w:rsidRPr="00516C19" w:rsidRDefault="0091110F" w:rsidP="00516C19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Idée</w:t>
            </w:r>
          </w:p>
        </w:tc>
        <w:tc>
          <w:tcPr>
            <w:tcW w:w="1305" w:type="dxa"/>
            <w:vAlign w:val="center"/>
          </w:tcPr>
          <w:p w:rsidR="0091110F" w:rsidRPr="00516C19" w:rsidRDefault="0091110F" w:rsidP="00516C19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Document(s)</w:t>
            </w:r>
          </w:p>
        </w:tc>
        <w:tc>
          <w:tcPr>
            <w:tcW w:w="11592" w:type="dxa"/>
            <w:vAlign w:val="center"/>
          </w:tcPr>
          <w:p w:rsidR="0091110F" w:rsidRPr="00516C19" w:rsidRDefault="0091110F" w:rsidP="00516C19">
            <w:pPr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Information(s)</w:t>
            </w:r>
          </w:p>
        </w:tc>
      </w:tr>
      <w:tr w:rsidR="0091110F" w:rsidTr="00F367EA">
        <w:tc>
          <w:tcPr>
            <w:tcW w:w="2943" w:type="dxa"/>
          </w:tcPr>
          <w:p w:rsidR="0091110F" w:rsidRPr="00F15027" w:rsidRDefault="0091110F" w:rsidP="00516C19">
            <w:pPr>
              <w:jc w:val="both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L</w:t>
            </w:r>
            <w:r w:rsidRPr="00516C19">
              <w:rPr>
                <w:rFonts w:ascii="Times" w:hAnsi="Times"/>
                <w:sz w:val="20"/>
                <w:szCs w:val="20"/>
                <w:lang w:eastAsia="fr-FR"/>
              </w:rPr>
              <w:t xml:space="preserve">a langue peut constituer un vecteur d’influence et de puissance lorsqu’elle est adoptée comme </w:t>
            </w:r>
            <w:r w:rsidRPr="00F15027">
              <w:rPr>
                <w:rFonts w:ascii="Times" w:hAnsi="Times"/>
                <w:b/>
                <w:sz w:val="20"/>
                <w:szCs w:val="20"/>
                <w:lang w:eastAsia="fr-FR"/>
              </w:rPr>
              <w:t>langue officielle au sein des organisations internationales</w:t>
            </w:r>
            <w:r>
              <w:rPr>
                <w:rFonts w:ascii="Times" w:hAnsi="Times"/>
                <w:b/>
                <w:sz w:val="20"/>
                <w:szCs w:val="20"/>
                <w:lang w:eastAsia="fr-FR"/>
              </w:rPr>
              <w:t>.</w:t>
            </w: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1</w:t>
            </w:r>
          </w:p>
        </w:tc>
        <w:tc>
          <w:tcPr>
            <w:tcW w:w="11592" w:type="dxa"/>
          </w:tcPr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1110F" w:rsidTr="00F367EA">
        <w:tc>
          <w:tcPr>
            <w:tcW w:w="2943" w:type="dxa"/>
          </w:tcPr>
          <w:p w:rsidR="0091110F" w:rsidRPr="006A73DA" w:rsidRDefault="0091110F" w:rsidP="006A73DA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 w:rsidRPr="006A73DA">
              <w:rPr>
                <w:rFonts w:ascii="Times" w:hAnsi="Times"/>
                <w:sz w:val="20"/>
                <w:szCs w:val="20"/>
                <w:lang w:eastAsia="fr-FR"/>
              </w:rPr>
              <w:t xml:space="preserve">Le partage d’une même langue peut </w:t>
            </w:r>
            <w:r w:rsidRPr="006A73DA">
              <w:rPr>
                <w:rFonts w:ascii="Times" w:hAnsi="Times"/>
                <w:b/>
                <w:sz w:val="20"/>
                <w:szCs w:val="20"/>
                <w:lang w:eastAsia="fr-FR"/>
              </w:rPr>
              <w:t>favoriser les échanges commerciaux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>.</w:t>
            </w: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2</w:t>
            </w:r>
          </w:p>
        </w:tc>
        <w:tc>
          <w:tcPr>
            <w:tcW w:w="11592" w:type="dxa"/>
          </w:tcPr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91110F" w:rsidTr="00F367EA">
        <w:tc>
          <w:tcPr>
            <w:tcW w:w="2943" w:type="dxa"/>
          </w:tcPr>
          <w:p w:rsidR="0091110F" w:rsidRPr="00155D94" w:rsidRDefault="0091110F" w:rsidP="00155D94">
            <w:pPr>
              <w:jc w:val="both"/>
              <w:rPr>
                <w:rFonts w:ascii="Times" w:hAnsi="Times"/>
                <w:sz w:val="20"/>
                <w:szCs w:val="20"/>
                <w:lang w:eastAsia="fr-FR"/>
              </w:rPr>
            </w:pPr>
            <w:r w:rsidRPr="00155D94">
              <w:rPr>
                <w:rFonts w:ascii="Times" w:hAnsi="Times"/>
                <w:sz w:val="20"/>
                <w:szCs w:val="20"/>
                <w:lang w:eastAsia="fr-FR"/>
              </w:rPr>
              <w:t xml:space="preserve">La langue </w:t>
            </w:r>
            <w:r w:rsidRPr="00F15867">
              <w:rPr>
                <w:rFonts w:ascii="Times" w:hAnsi="Times"/>
                <w:b/>
                <w:sz w:val="20"/>
                <w:szCs w:val="20"/>
                <w:lang w:eastAsia="fr-FR"/>
              </w:rPr>
              <w:t>véhicule la culture et le mode de vie</w:t>
            </w:r>
          </w:p>
        </w:tc>
        <w:tc>
          <w:tcPr>
            <w:tcW w:w="1305" w:type="dxa"/>
          </w:tcPr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Doc. 3 </w:t>
            </w:r>
          </w:p>
        </w:tc>
        <w:tc>
          <w:tcPr>
            <w:tcW w:w="11592" w:type="dxa"/>
          </w:tcPr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91110F" w:rsidTr="00F367EA">
        <w:tc>
          <w:tcPr>
            <w:tcW w:w="2943" w:type="dxa"/>
          </w:tcPr>
          <w:p w:rsidR="0091110F" w:rsidRDefault="0091110F" w:rsidP="0076269F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Le </w:t>
            </w:r>
            <w:r w:rsidRPr="00FA2DB7">
              <w:rPr>
                <w:rFonts w:ascii="Times" w:hAnsi="Times"/>
                <w:b/>
                <w:sz w:val="20"/>
                <w:szCs w:val="20"/>
                <w:lang w:eastAsia="fr-FR"/>
              </w:rPr>
              <w:t>marquage spatial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de l’aire d’influence </w:t>
            </w:r>
          </w:p>
        </w:tc>
        <w:tc>
          <w:tcPr>
            <w:tcW w:w="1305" w:type="dxa"/>
          </w:tcPr>
          <w:p w:rsidR="0091110F" w:rsidRDefault="0091110F" w:rsidP="003E21D4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4, 5 et 6</w:t>
            </w:r>
          </w:p>
        </w:tc>
        <w:tc>
          <w:tcPr>
            <w:tcW w:w="11592" w:type="dxa"/>
          </w:tcPr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D6B18">
            <w:pPr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91110F" w:rsidRDefault="0091110F" w:rsidP="0091110F">
      <w:pPr>
        <w:rPr>
          <w:rFonts w:ascii="Times" w:hAnsi="Times"/>
          <w:sz w:val="20"/>
          <w:szCs w:val="20"/>
          <w:lang w:eastAsia="fr-FR"/>
        </w:rPr>
      </w:pPr>
    </w:p>
    <w:tbl>
      <w:tblPr>
        <w:tblStyle w:val="Grille"/>
        <w:tblW w:w="0" w:type="auto"/>
        <w:tblLook w:val="00BF"/>
      </w:tblPr>
      <w:tblGrid>
        <w:gridCol w:w="2943"/>
        <w:gridCol w:w="1305"/>
        <w:gridCol w:w="11592"/>
      </w:tblGrid>
      <w:tr w:rsidR="0091110F">
        <w:tc>
          <w:tcPr>
            <w:tcW w:w="15840" w:type="dxa"/>
            <w:gridSpan w:val="3"/>
            <w:vAlign w:val="center"/>
          </w:tcPr>
          <w:p w:rsidR="0091110F" w:rsidRPr="00516C19" w:rsidRDefault="0091110F" w:rsidP="00840FBE">
            <w:pPr>
              <w:spacing w:before="2" w:after="2"/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b/>
                <w:sz w:val="20"/>
                <w:szCs w:val="20"/>
                <w:lang w:eastAsia="fr-FR"/>
              </w:rPr>
              <w:t>Les vecteurs et les outils de diffusion de la langue à travers le monde</w:t>
            </w:r>
          </w:p>
        </w:tc>
      </w:tr>
      <w:tr w:rsidR="0091110F" w:rsidRPr="00516C19" w:rsidTr="00F367EA">
        <w:tc>
          <w:tcPr>
            <w:tcW w:w="2943" w:type="dxa"/>
            <w:vAlign w:val="center"/>
          </w:tcPr>
          <w:p w:rsidR="0091110F" w:rsidRPr="00516C19" w:rsidRDefault="0091110F" w:rsidP="00840FBE">
            <w:pPr>
              <w:spacing w:before="2" w:after="2"/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Idée</w:t>
            </w:r>
          </w:p>
        </w:tc>
        <w:tc>
          <w:tcPr>
            <w:tcW w:w="1305" w:type="dxa"/>
            <w:vAlign w:val="center"/>
          </w:tcPr>
          <w:p w:rsidR="0091110F" w:rsidRPr="00516C19" w:rsidRDefault="0091110F" w:rsidP="00840FBE">
            <w:pPr>
              <w:spacing w:before="2" w:after="2"/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Document(s)</w:t>
            </w:r>
          </w:p>
        </w:tc>
        <w:tc>
          <w:tcPr>
            <w:tcW w:w="11592" w:type="dxa"/>
            <w:vAlign w:val="center"/>
          </w:tcPr>
          <w:p w:rsidR="0091110F" w:rsidRPr="00516C19" w:rsidRDefault="0091110F" w:rsidP="00840FBE">
            <w:pPr>
              <w:spacing w:before="2" w:after="2"/>
              <w:jc w:val="center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516C19">
              <w:rPr>
                <w:rFonts w:ascii="Times" w:hAnsi="Times"/>
                <w:b/>
                <w:sz w:val="20"/>
                <w:szCs w:val="20"/>
                <w:lang w:eastAsia="fr-FR"/>
              </w:rPr>
              <w:t>Information(s)</w:t>
            </w:r>
          </w:p>
        </w:tc>
      </w:tr>
      <w:tr w:rsidR="0091110F" w:rsidTr="00F367EA">
        <w:tc>
          <w:tcPr>
            <w:tcW w:w="2943" w:type="dxa"/>
          </w:tcPr>
          <w:p w:rsidR="0091110F" w:rsidRPr="00F15027" w:rsidRDefault="0091110F" w:rsidP="00840FBE">
            <w:pPr>
              <w:spacing w:before="2" w:after="2"/>
              <w:jc w:val="both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L</w:t>
            </w:r>
            <w:r w:rsidRPr="00516C19">
              <w:rPr>
                <w:rFonts w:ascii="Times" w:hAnsi="Times"/>
                <w:sz w:val="20"/>
                <w:szCs w:val="20"/>
                <w:lang w:eastAsia="fr-FR"/>
              </w:rPr>
              <w:t xml:space="preserve">a langue 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est un </w:t>
            </w:r>
            <w:r w:rsidRPr="00407BCB">
              <w:rPr>
                <w:rFonts w:ascii="Times" w:hAnsi="Times"/>
                <w:b/>
                <w:sz w:val="20"/>
                <w:szCs w:val="20"/>
                <w:lang w:eastAsia="fr-FR"/>
              </w:rPr>
              <w:t>héritage historique qui perdure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. </w:t>
            </w: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- Doc. 4 et 5</w:t>
            </w: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- Doc. 7</w:t>
            </w:r>
          </w:p>
        </w:tc>
        <w:tc>
          <w:tcPr>
            <w:tcW w:w="11592" w:type="dxa"/>
          </w:tcPr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1110F" w:rsidTr="00F367EA">
        <w:tc>
          <w:tcPr>
            <w:tcW w:w="2943" w:type="dxa"/>
          </w:tcPr>
          <w:p w:rsidR="0091110F" w:rsidRPr="00562907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 w:rsidRPr="00562907">
              <w:rPr>
                <w:rFonts w:ascii="Times" w:hAnsi="Times"/>
                <w:sz w:val="20"/>
                <w:szCs w:val="20"/>
                <w:lang w:eastAsia="fr-FR"/>
              </w:rPr>
              <w:t>Le</w:t>
            </w:r>
            <w:r w:rsidRPr="00562907"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 dynamisme démographique</w:t>
            </w:r>
            <w:r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 </w:t>
            </w:r>
            <w:r w:rsidRPr="00562907">
              <w:rPr>
                <w:rFonts w:ascii="Times" w:hAnsi="Times"/>
                <w:sz w:val="20"/>
                <w:szCs w:val="20"/>
                <w:lang w:eastAsia="fr-FR"/>
              </w:rPr>
              <w:t>favorise la diffusion de la langue</w:t>
            </w: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8</w:t>
            </w:r>
          </w:p>
        </w:tc>
        <w:tc>
          <w:tcPr>
            <w:tcW w:w="11592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91110F" w:rsidTr="00F367EA">
        <w:tc>
          <w:tcPr>
            <w:tcW w:w="2943" w:type="dxa"/>
          </w:tcPr>
          <w:p w:rsidR="0091110F" w:rsidRPr="00562907" w:rsidRDefault="0091110F" w:rsidP="00562907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Les </w:t>
            </w:r>
            <w:r w:rsidRPr="00562907">
              <w:rPr>
                <w:rFonts w:ascii="Times" w:hAnsi="Times"/>
                <w:b/>
                <w:sz w:val="20"/>
                <w:szCs w:val="20"/>
                <w:lang w:eastAsia="fr-FR"/>
              </w:rPr>
              <w:t>migrations internationales et les diasporas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</w:t>
            </w:r>
            <w:r w:rsidRPr="00562907">
              <w:rPr>
                <w:rFonts w:ascii="Times" w:hAnsi="Times"/>
                <w:sz w:val="20"/>
                <w:szCs w:val="20"/>
                <w:lang w:eastAsia="fr-FR"/>
              </w:rPr>
              <w:t>favorise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>nt</w:t>
            </w:r>
            <w:r w:rsidRPr="00562907">
              <w:rPr>
                <w:rFonts w:ascii="Times" w:hAnsi="Times"/>
                <w:sz w:val="20"/>
                <w:szCs w:val="20"/>
                <w:lang w:eastAsia="fr-FR"/>
              </w:rPr>
              <w:t xml:space="preserve"> la diffusion de la langue</w:t>
            </w:r>
          </w:p>
          <w:p w:rsidR="0091110F" w:rsidRPr="00155D94" w:rsidRDefault="0091110F" w:rsidP="00840FBE">
            <w:pPr>
              <w:spacing w:before="2" w:after="2"/>
              <w:jc w:val="both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6 et 9</w:t>
            </w:r>
          </w:p>
        </w:tc>
        <w:tc>
          <w:tcPr>
            <w:tcW w:w="11592" w:type="dxa"/>
          </w:tcPr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407BCB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91110F" w:rsidTr="00F367EA">
        <w:tc>
          <w:tcPr>
            <w:tcW w:w="2943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 w:rsidRPr="00407BCB">
              <w:rPr>
                <w:rFonts w:ascii="Times" w:hAnsi="Times"/>
                <w:b/>
                <w:sz w:val="20"/>
                <w:szCs w:val="20"/>
                <w:lang w:eastAsia="fr-FR"/>
              </w:rPr>
              <w:t>L’exportation de produits culturels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favorise la diffusion d’une langue </w:t>
            </w:r>
          </w:p>
        </w:tc>
        <w:tc>
          <w:tcPr>
            <w:tcW w:w="1305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3 et 10</w:t>
            </w:r>
          </w:p>
        </w:tc>
        <w:tc>
          <w:tcPr>
            <w:tcW w:w="11592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  <w:tr w:rsidR="0091110F" w:rsidTr="00F367EA">
        <w:tc>
          <w:tcPr>
            <w:tcW w:w="2943" w:type="dxa"/>
          </w:tcPr>
          <w:p w:rsidR="0091110F" w:rsidRPr="00407BCB" w:rsidRDefault="0091110F" w:rsidP="00840FBE">
            <w:pPr>
              <w:spacing w:before="2" w:after="2"/>
              <w:rPr>
                <w:rFonts w:ascii="Times" w:hAnsi="Times"/>
                <w:b/>
                <w:sz w:val="20"/>
                <w:szCs w:val="20"/>
                <w:lang w:eastAsia="fr-FR"/>
              </w:rPr>
            </w:pPr>
            <w:r w:rsidRPr="00407BCB">
              <w:rPr>
                <w:rFonts w:ascii="Times" w:hAnsi="Times"/>
                <w:sz w:val="20"/>
                <w:szCs w:val="20"/>
                <w:lang w:eastAsia="fr-FR"/>
              </w:rPr>
              <w:t>Le</w:t>
            </w:r>
            <w:r>
              <w:rPr>
                <w:rFonts w:ascii="Times" w:hAnsi="Times"/>
                <w:b/>
                <w:sz w:val="20"/>
                <w:szCs w:val="20"/>
                <w:lang w:eastAsia="fr-FR"/>
              </w:rPr>
              <w:t xml:space="preserve"> développement d’internet 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>favorise la diffusion d’une langue</w:t>
            </w:r>
          </w:p>
        </w:tc>
        <w:tc>
          <w:tcPr>
            <w:tcW w:w="1305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11</w:t>
            </w:r>
          </w:p>
        </w:tc>
        <w:tc>
          <w:tcPr>
            <w:tcW w:w="11592" w:type="dxa"/>
          </w:tcPr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91110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91110F" w:rsidTr="00F367EA">
        <w:tc>
          <w:tcPr>
            <w:tcW w:w="2943" w:type="dxa"/>
          </w:tcPr>
          <w:p w:rsidR="0091110F" w:rsidRPr="00407BCB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Les </w:t>
            </w:r>
            <w:r w:rsidRPr="007A501F">
              <w:rPr>
                <w:rFonts w:ascii="Times" w:hAnsi="Times"/>
                <w:b/>
                <w:sz w:val="20"/>
                <w:szCs w:val="20"/>
                <w:lang w:eastAsia="fr-FR"/>
              </w:rPr>
              <w:t>réseaux institutionnels</w:t>
            </w:r>
            <w:r>
              <w:rPr>
                <w:rFonts w:ascii="Times" w:hAnsi="Times"/>
                <w:sz w:val="20"/>
                <w:szCs w:val="20"/>
                <w:lang w:eastAsia="fr-FR"/>
              </w:rPr>
              <w:t xml:space="preserve"> favorisent la diffusion d’une langue. </w:t>
            </w:r>
          </w:p>
        </w:tc>
        <w:tc>
          <w:tcPr>
            <w:tcW w:w="1305" w:type="dxa"/>
          </w:tcPr>
          <w:p w:rsidR="0091110F" w:rsidRDefault="0091110F" w:rsidP="00840FBE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rPr>
                <w:rFonts w:ascii="Times" w:hAnsi="Times"/>
                <w:sz w:val="20"/>
                <w:szCs w:val="20"/>
                <w:lang w:eastAsia="fr-FR"/>
              </w:rPr>
              <w:t>Doc. 5, 12 et 13</w:t>
            </w:r>
          </w:p>
        </w:tc>
        <w:tc>
          <w:tcPr>
            <w:tcW w:w="11592" w:type="dxa"/>
          </w:tcPr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  <w:p w:rsidR="0091110F" w:rsidRDefault="0091110F" w:rsidP="007A501F">
            <w:pPr>
              <w:spacing w:before="2" w:after="2"/>
              <w:rPr>
                <w:rFonts w:ascii="Times" w:hAnsi="Times"/>
                <w:sz w:val="20"/>
                <w:szCs w:val="20"/>
                <w:lang w:eastAsia="fr-FR"/>
              </w:rPr>
            </w:pPr>
          </w:p>
        </w:tc>
      </w:tr>
    </w:tbl>
    <w:p w:rsidR="009C76EE" w:rsidRDefault="00F367EA"/>
    <w:sectPr w:rsidR="009C76EE" w:rsidSect="003E21D4">
      <w:pgSz w:w="16834" w:h="11904" w:orient="landscape"/>
      <w:pgMar w:top="567" w:right="567" w:bottom="567" w:left="56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1110F"/>
    <w:rsid w:val="000E2DEE"/>
    <w:rsid w:val="0091110F"/>
    <w:rsid w:val="00F367E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0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9111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1269</Characters>
  <Application>Microsoft Word 12.1.0</Application>
  <DocSecurity>0</DocSecurity>
  <Lines>10</Lines>
  <Paragraphs>2</Paragraphs>
  <ScaleCrop>false</ScaleCrop>
  <LinksUpToDate>false</LinksUpToDate>
  <CharactersWithSpaces>1558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Castets</dc:creator>
  <cp:keywords/>
  <cp:lastModifiedBy>Sabine Castets</cp:lastModifiedBy>
  <cp:revision>2</cp:revision>
  <dcterms:created xsi:type="dcterms:W3CDTF">2019-10-21T14:44:00Z</dcterms:created>
  <dcterms:modified xsi:type="dcterms:W3CDTF">2019-10-22T08:14:00Z</dcterms:modified>
</cp:coreProperties>
</file>